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9F41" w14:textId="2018A05F" w:rsidR="00A53E47" w:rsidRPr="007119F7" w:rsidRDefault="00A53E47" w:rsidP="007119F7">
      <w:pPr>
        <w:spacing w:line="276" w:lineRule="auto"/>
        <w:rPr>
          <w:rFonts w:ascii="Bookman Old Style" w:eastAsiaTheme="majorEastAsia" w:hAnsi="Bookman Old Style" w:cstheme="majorBidi"/>
          <w:color w:val="000000" w:themeColor="text1"/>
          <w:spacing w:val="-10"/>
          <w:kern w:val="28"/>
        </w:rPr>
      </w:pPr>
    </w:p>
    <w:p w14:paraId="7DA73FEF" w14:textId="77777777" w:rsidR="00A53E47" w:rsidRDefault="00A53E47" w:rsidP="00915D97">
      <w:pPr>
        <w:pStyle w:val="Title"/>
        <w:jc w:val="both"/>
      </w:pPr>
    </w:p>
    <w:p w14:paraId="5BD756FB" w14:textId="77777777" w:rsidR="00A53E47" w:rsidRDefault="00A53E47" w:rsidP="00915D97">
      <w:pPr>
        <w:pStyle w:val="Title"/>
        <w:jc w:val="both"/>
      </w:pPr>
    </w:p>
    <w:p w14:paraId="6934B8CC" w14:textId="144CA80A" w:rsidR="00724B16" w:rsidRPr="00915D97" w:rsidRDefault="00724B16" w:rsidP="00915D97">
      <w:pPr>
        <w:pStyle w:val="Title"/>
        <w:jc w:val="both"/>
      </w:pPr>
      <w:r w:rsidRPr="00915D97">
        <w:t>Prison Conditions &amp; Grievance System</w:t>
      </w:r>
      <w:r w:rsidR="00F16A80" w:rsidRPr="00915D97">
        <w:t xml:space="preserve"> in Canada</w:t>
      </w:r>
    </w:p>
    <w:p w14:paraId="45D42263" w14:textId="77777777" w:rsidR="00EA7F0E" w:rsidRPr="00915D97" w:rsidRDefault="00724B16" w:rsidP="00915D97">
      <w:pPr>
        <w:pStyle w:val="Heading1"/>
      </w:pPr>
      <w:r w:rsidRPr="00915D97">
        <w:br w:type="page"/>
      </w:r>
      <w:bookmarkStart w:id="0" w:name="_Toc199153160"/>
      <w:r w:rsidR="00EA7F0E" w:rsidRPr="00915D97">
        <w:rPr>
          <w:rStyle w:val="Strong"/>
          <w:b w:val="0"/>
          <w:bCs w:val="0"/>
        </w:rPr>
        <w:lastRenderedPageBreak/>
        <w:t>Anti-Black Racism, Systemic Failures, and Legal Tools for Defence Counsel</w:t>
      </w:r>
      <w:bookmarkEnd w:id="0"/>
    </w:p>
    <w:p w14:paraId="763805AE" w14:textId="1204006A" w:rsidR="00EA7F0E" w:rsidRPr="00912BBF" w:rsidRDefault="00EA7F0E" w:rsidP="00915D97">
      <w:pPr>
        <w:pStyle w:val="Heading2"/>
      </w:pPr>
      <w:bookmarkStart w:id="1" w:name="_Toc199153161"/>
      <w:r w:rsidRPr="00915D97">
        <w:rPr>
          <w:rStyle w:val="Strong"/>
          <w:b w:val="0"/>
          <w:bCs w:val="0"/>
        </w:rPr>
        <w:t>Introduction</w:t>
      </w:r>
      <w:bookmarkEnd w:id="1"/>
    </w:p>
    <w:p w14:paraId="5E3EDC9F" w14:textId="1753B006" w:rsidR="00EA7F0E" w:rsidRPr="00912BBF" w:rsidRDefault="00EA7F0E" w:rsidP="00912BBF">
      <w:pPr>
        <w:pStyle w:val="ds-markdown-paragraph"/>
        <w:shd w:val="clear" w:color="auto" w:fill="FFFFFF"/>
        <w:spacing w:before="206" w:beforeAutospacing="0" w:after="206"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Canada's criminal justice system is founded upon principles of equality, fairness, and respect for human dignity, as enshrined in the </w:t>
      </w:r>
      <w:r w:rsidRPr="00912BBF">
        <w:rPr>
          <w:rStyle w:val="Emphasis"/>
          <w:rFonts w:ascii="Bookman Old Style" w:eastAsiaTheme="majorEastAsia" w:hAnsi="Bookman Old Style" w:cs="Segoe UI"/>
          <w:color w:val="000000" w:themeColor="text1"/>
        </w:rPr>
        <w:t>Canadian Charter of Rights and Freedoms</w:t>
      </w:r>
      <w:r w:rsidRPr="00912BBF">
        <w:rPr>
          <w:rFonts w:ascii="Bookman Old Style" w:hAnsi="Bookman Old Style" w:cs="Segoe UI"/>
          <w:color w:val="000000" w:themeColor="text1"/>
        </w:rPr>
        <w:t> and reflected in domestic and international human rights obligations. Yet, despite this legal framework, the lived reality for Black incarcerated individuals reveals persistent and deeply entrenched patterns of systemic racism that undermine these same principles at every stage of the correctional process.</w:t>
      </w:r>
    </w:p>
    <w:p w14:paraId="4AB70E24" w14:textId="5FA69117" w:rsidR="00EA7F0E" w:rsidRPr="00912BBF" w:rsidRDefault="00EA7F0E" w:rsidP="00912BBF">
      <w:pPr>
        <w:pStyle w:val="ds-markdown-paragraph"/>
        <w:shd w:val="clear" w:color="auto" w:fill="FFFFFF"/>
        <w:spacing w:before="206" w:beforeAutospacing="0" w:after="206"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The </w:t>
      </w:r>
      <w:r w:rsidRPr="00912BBF">
        <w:rPr>
          <w:rStyle w:val="Emphasis"/>
          <w:rFonts w:ascii="Bookman Old Style" w:eastAsiaTheme="majorEastAsia" w:hAnsi="Bookman Old Style" w:cs="Segoe UI"/>
          <w:color w:val="000000" w:themeColor="text1"/>
        </w:rPr>
        <w:t>Corrections and Conditional Release Act</w:t>
      </w:r>
      <w:r w:rsidRPr="00912BBF">
        <w:rPr>
          <w:rFonts w:ascii="Bookman Old Style" w:hAnsi="Bookman Old Style" w:cs="Segoe UI"/>
          <w:color w:val="000000" w:themeColor="text1"/>
        </w:rPr>
        <w:t xml:space="preserve"> (CCRA) and its accompanying </w:t>
      </w:r>
      <w:r w:rsidRPr="00912BBF">
        <w:rPr>
          <w:rFonts w:ascii="Bookman Old Style" w:hAnsi="Bookman Old Style" w:cs="Segoe UI"/>
          <w:i/>
          <w:iCs/>
          <w:color w:val="000000" w:themeColor="text1"/>
        </w:rPr>
        <w:t>Commissioner's Directives</w:t>
      </w:r>
      <w:r w:rsidRPr="00912BBF">
        <w:rPr>
          <w:rFonts w:ascii="Bookman Old Style" w:hAnsi="Bookman Old Style" w:cs="Segoe UI"/>
          <w:color w:val="000000" w:themeColor="text1"/>
        </w:rPr>
        <w:t xml:space="preserve"> establish formal mechanisms for oversight and redress, including grievance procedures and independent review bodies such as the Office of the Correctional Investigator (OCI). However, these structures have proven largely ineffective in identifying, preventing, or remedying racial discrimination within prisons. Black inmates continue to face disproportionate rates of segregation, harsher institutional classifications, restricted access to rehabilitative programs, and racially motivated mistreatment by </w:t>
      </w:r>
      <w:proofErr w:type="gramStart"/>
      <w:r w:rsidRPr="00912BBF">
        <w:rPr>
          <w:rFonts w:ascii="Bookman Old Style" w:hAnsi="Bookman Old Style" w:cs="Segoe UI"/>
          <w:color w:val="000000" w:themeColor="text1"/>
        </w:rPr>
        <w:t>staff  -</w:t>
      </w:r>
      <w:proofErr w:type="gramEnd"/>
      <w:r w:rsidRPr="00912BBF">
        <w:rPr>
          <w:rFonts w:ascii="Bookman Old Style" w:hAnsi="Bookman Old Style" w:cs="Segoe UI"/>
          <w:color w:val="000000" w:themeColor="text1"/>
        </w:rPr>
        <w:t xml:space="preserve"> all while being systematically denied meaningful recourse through existing complaint mechanisms.</w:t>
      </w:r>
    </w:p>
    <w:p w14:paraId="74560157" w14:textId="5DEFF4BF" w:rsidR="00EA7F0E" w:rsidRPr="00912BBF" w:rsidRDefault="00EA7F0E" w:rsidP="00912BBF">
      <w:pPr>
        <w:pStyle w:val="ds-markdown-paragraph"/>
        <w:shd w:val="clear" w:color="auto" w:fill="FFFFFF"/>
        <w:spacing w:before="206" w:beforeAutospacing="0" w:after="206"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 xml:space="preserve">This section provides an examination of the structural conditions that facilitate anti-Black racism in Canadian correctional institutions, analyses the systemic failures of internal oversight mechanisms, and provides defence counsel with concrete legal strategies to challenge discriminatory practices. By understanding these issues and employing targeted advocacy tools, lawyers can better protect their clients' rights, hold institutions accountable, and contribute to broader efforts to </w:t>
      </w:r>
      <w:r w:rsidR="00D874DB" w:rsidRPr="00912BBF">
        <w:rPr>
          <w:rFonts w:ascii="Bookman Old Style" w:hAnsi="Bookman Old Style" w:cs="Segoe UI"/>
          <w:color w:val="000000" w:themeColor="text1"/>
        </w:rPr>
        <w:t xml:space="preserve">confront and </w:t>
      </w:r>
      <w:r w:rsidRPr="00912BBF">
        <w:rPr>
          <w:rFonts w:ascii="Bookman Old Style" w:hAnsi="Bookman Old Style" w:cs="Segoe UI"/>
          <w:color w:val="000000" w:themeColor="text1"/>
        </w:rPr>
        <w:t>dismantle systemic racism within the justice system.</w:t>
      </w:r>
    </w:p>
    <w:p w14:paraId="227E567A" w14:textId="17B2FAA6" w:rsidR="00EA7F0E" w:rsidRPr="00915D97" w:rsidRDefault="00EA7F0E" w:rsidP="00915D97">
      <w:pPr>
        <w:pStyle w:val="Heading2"/>
      </w:pPr>
      <w:bookmarkStart w:id="2" w:name="_Toc199153162"/>
      <w:r w:rsidRPr="00915D97">
        <w:rPr>
          <w:rStyle w:val="Strong"/>
          <w:b w:val="0"/>
          <w:bCs w:val="0"/>
        </w:rPr>
        <w:t>Systemic Anti-Black Racism in Canadian Prisons: A Pervasive Crisis</w:t>
      </w:r>
      <w:bookmarkEnd w:id="2"/>
    </w:p>
    <w:p w14:paraId="0915A66C" w14:textId="281DAFED" w:rsidR="00881834" w:rsidRPr="00912BBF" w:rsidRDefault="00EA7F0E" w:rsidP="00912BBF">
      <w:pPr>
        <w:pStyle w:val="ds-markdown-paragraph"/>
        <w:shd w:val="clear" w:color="auto" w:fill="FFFFFF"/>
        <w:spacing w:before="206" w:beforeAutospacing="0" w:after="206"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 xml:space="preserve">The overrepresentation of Black individuals in Canada's federal prison population is not merely a statistical anomaly but a glaring indictment of systemic racism within the criminal justice system. While Black Canadians constitute approximately 3.5% of the general population, they account for over </w:t>
      </w:r>
      <w:r w:rsidR="00D874DB" w:rsidRPr="00912BBF">
        <w:rPr>
          <w:rFonts w:ascii="Bookman Old Style" w:hAnsi="Bookman Old Style" w:cs="Segoe UI"/>
          <w:color w:val="000000" w:themeColor="text1"/>
        </w:rPr>
        <w:t>9</w:t>
      </w:r>
      <w:r w:rsidRPr="00912BBF">
        <w:rPr>
          <w:rFonts w:ascii="Bookman Old Style" w:hAnsi="Bookman Old Style" w:cs="Segoe UI"/>
          <w:color w:val="000000" w:themeColor="text1"/>
        </w:rPr>
        <w:t>% of federally incarcerated individuals</w:t>
      </w:r>
      <w:r w:rsidR="00D874DB" w:rsidRPr="00912BBF">
        <w:rPr>
          <w:rStyle w:val="FootnoteReference"/>
          <w:rFonts w:ascii="Bookman Old Style" w:hAnsi="Bookman Old Style" w:cs="Segoe UI"/>
          <w:color w:val="000000" w:themeColor="text1"/>
        </w:rPr>
        <w:footnoteReference w:id="1"/>
      </w:r>
      <w:r w:rsidR="00D874DB" w:rsidRPr="00912BBF">
        <w:rPr>
          <w:rFonts w:ascii="Bookman Old Style" w:hAnsi="Bookman Old Style" w:cs="Segoe UI"/>
          <w:color w:val="000000" w:themeColor="text1"/>
        </w:rPr>
        <w:t xml:space="preserve"> - </w:t>
      </w:r>
      <w:r w:rsidRPr="00912BBF">
        <w:rPr>
          <w:rFonts w:ascii="Bookman Old Style" w:hAnsi="Bookman Old Style" w:cs="Segoe UI"/>
          <w:color w:val="000000" w:themeColor="text1"/>
        </w:rPr>
        <w:t xml:space="preserve">a disparity that has worsened </w:t>
      </w:r>
      <w:r w:rsidRPr="00912BBF">
        <w:rPr>
          <w:rFonts w:ascii="Bookman Old Style" w:hAnsi="Bookman Old Style" w:cs="Segoe UI"/>
          <w:color w:val="000000" w:themeColor="text1"/>
        </w:rPr>
        <w:lastRenderedPageBreak/>
        <w:t>over the past decade despite repeated calls for reform from oversight bodies, academics, and advocacy organizations.</w:t>
      </w:r>
    </w:p>
    <w:p w14:paraId="36BC7C69" w14:textId="76B53B92" w:rsidR="00881834" w:rsidRPr="00912BBF" w:rsidRDefault="00881834" w:rsidP="00912BBF">
      <w:pPr>
        <w:pStyle w:val="ds-markdown-paragraph"/>
        <w:shd w:val="clear" w:color="auto" w:fill="FFFFFF"/>
        <w:spacing w:before="206" w:after="206"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The latest available data from 2020/21 reveals a disturbing pattern of racial disproportionality in provincial correctional systems across multiple Canadian jurisdictions.</w:t>
      </w:r>
      <w:r w:rsidRPr="00912BBF">
        <w:rPr>
          <w:rStyle w:val="FootnoteReference"/>
          <w:rFonts w:ascii="Bookman Old Style" w:hAnsi="Bookman Old Style" w:cs="Segoe UI"/>
          <w:color w:val="000000" w:themeColor="text1"/>
        </w:rPr>
        <w:footnoteReference w:id="2"/>
      </w:r>
      <w:r w:rsidRPr="00912BBF">
        <w:rPr>
          <w:rFonts w:ascii="Bookman Old Style" w:hAnsi="Bookman Old Style" w:cs="Segoe UI"/>
          <w:color w:val="000000" w:themeColor="text1"/>
        </w:rPr>
        <w:t xml:space="preserve"> These statistics demonstrate that Black adults experience significantly higher rates of admission to both custodial and community correctional services compared to their representation in the general population - a clear indicator of systemic bias within Canada's criminal justice framework.</w:t>
      </w:r>
    </w:p>
    <w:p w14:paraId="558FF0FF" w14:textId="100D0DF5" w:rsidR="00881834" w:rsidRPr="00912BBF" w:rsidRDefault="00881834" w:rsidP="00912BBF">
      <w:pPr>
        <w:pStyle w:val="ds-markdown-paragraph"/>
        <w:shd w:val="clear" w:color="auto" w:fill="FFFFFF"/>
        <w:spacing w:before="206" w:after="206"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In Nova Scotia, where Black adults constitute merely 3% of the provincial adult population, they account for 11% of custodial admissions and 7% of community service admissions. This disparity is particularly acute among Black men, who represent 11% of male custodial admissions, while Black women face similarly disproportionate representation at 9% of female custodial admissions. The Ontario data presents an even more troubling picture, with Black adults (5% of the population) accounting for 14% of custodial admissions and 8% of community service admissions. Here, Black men experience the most severe disproportionality at 15% of male custodial admissions.</w:t>
      </w:r>
    </w:p>
    <w:p w14:paraId="166FB544" w14:textId="21BB3438" w:rsidR="00881834" w:rsidRPr="00912BBF" w:rsidRDefault="00881834" w:rsidP="00912BBF">
      <w:pPr>
        <w:pStyle w:val="ds-markdown-paragraph"/>
        <w:shd w:val="clear" w:color="auto" w:fill="FFFFFF"/>
        <w:spacing w:before="206" w:after="206"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While Alberta and British Columbia show relatively lower rates of overrepresentation, the data still reveals consistent patterns of disparity. In Alberta, Black adults (4% of population) represent 5% of custodial admissions, with Black men accounting for 6% of male admissions. British Columbia's figures, though smaller in absolute terms, still demonstrate disproportionality with Black adults (1% of population) representing 3% of custodial admissions.</w:t>
      </w:r>
    </w:p>
    <w:p w14:paraId="7C55C791" w14:textId="25CF1CA4" w:rsidR="00881834" w:rsidRPr="00912BBF" w:rsidRDefault="00881834" w:rsidP="00912BBF">
      <w:pPr>
        <w:pStyle w:val="ds-markdown-paragraph"/>
        <w:shd w:val="clear" w:color="auto" w:fill="FFFFFF"/>
        <w:spacing w:before="206" w:after="206"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These statistics cannot be explained by differential crime rates or population demographics alone. Rather, they reflect systemic issues including racial profiling in policing, discriminatory bail practices, harsher sentencing outcomes, and the criminalization of poverty in Black communities. The consistent overrepresentation across multiple provinces suggests these are not isolated incidents but rather indicators of structural racism embedded in Canada's justice system.</w:t>
      </w:r>
    </w:p>
    <w:p w14:paraId="08287775" w14:textId="158A8052" w:rsidR="00881834" w:rsidRPr="00912BBF" w:rsidRDefault="00881834" w:rsidP="00912BBF">
      <w:pPr>
        <w:pStyle w:val="ds-markdown-paragraph"/>
        <w:shd w:val="clear" w:color="auto" w:fill="FFFFFF"/>
        <w:spacing w:before="206" w:after="206"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 xml:space="preserve">The gender-disaggregated data reveals important nuances in how systemic discrimination manifests differently for Black men and women. While Black men experience particularly high rates of custodial admissions, Black women also face significant overrepresentation - a finding that challenges the </w:t>
      </w:r>
      <w:r w:rsidRPr="00912BBF">
        <w:rPr>
          <w:rFonts w:ascii="Bookman Old Style" w:hAnsi="Bookman Old Style" w:cs="Segoe UI"/>
          <w:color w:val="000000" w:themeColor="text1"/>
        </w:rPr>
        <w:lastRenderedPageBreak/>
        <w:t>frequent invisibility of Black women in discussions about criminal justice reform.</w:t>
      </w:r>
    </w:p>
    <w:p w14:paraId="03E67477" w14:textId="7D697ADD" w:rsidR="00881834" w:rsidRPr="00912BBF" w:rsidRDefault="00881834" w:rsidP="00915D97">
      <w:pPr>
        <w:pStyle w:val="ds-markdown-paragraph"/>
        <w:shd w:val="clear" w:color="auto" w:fill="FFFFFF"/>
        <w:spacing w:before="206" w:after="0"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These findings demand urgent policy responses including:</w:t>
      </w:r>
    </w:p>
    <w:p w14:paraId="5FB2ACE9" w14:textId="77777777" w:rsidR="00881834" w:rsidRPr="00912BBF" w:rsidRDefault="00881834">
      <w:pPr>
        <w:pStyle w:val="ds-markdown-paragraph"/>
        <w:numPr>
          <w:ilvl w:val="0"/>
          <w:numId w:val="39"/>
        </w:numPr>
        <w:shd w:val="clear" w:color="auto" w:fill="FFFFFF"/>
        <w:spacing w:before="206" w:after="206"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Comprehensive anti-racism training for all justice system participants</w:t>
      </w:r>
    </w:p>
    <w:p w14:paraId="280EDFAB" w14:textId="77777777" w:rsidR="00881834" w:rsidRPr="00912BBF" w:rsidRDefault="00881834">
      <w:pPr>
        <w:pStyle w:val="ds-markdown-paragraph"/>
        <w:numPr>
          <w:ilvl w:val="0"/>
          <w:numId w:val="39"/>
        </w:numPr>
        <w:shd w:val="clear" w:color="auto" w:fill="FFFFFF"/>
        <w:spacing w:before="206" w:after="206"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Mandatory collection and analysis of race-based data across all justice system decision points</w:t>
      </w:r>
    </w:p>
    <w:p w14:paraId="03F37B5C" w14:textId="77777777" w:rsidR="00881834" w:rsidRPr="00912BBF" w:rsidRDefault="00881834">
      <w:pPr>
        <w:pStyle w:val="ds-markdown-paragraph"/>
        <w:numPr>
          <w:ilvl w:val="0"/>
          <w:numId w:val="39"/>
        </w:numPr>
        <w:shd w:val="clear" w:color="auto" w:fill="FFFFFF"/>
        <w:spacing w:before="206" w:after="206"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Implementation of alternative justice programs specifically designed to address systemic bias</w:t>
      </w:r>
    </w:p>
    <w:p w14:paraId="19329017" w14:textId="1C31E340" w:rsidR="00881834" w:rsidRPr="00915D97" w:rsidRDefault="00881834">
      <w:pPr>
        <w:pStyle w:val="ds-markdown-paragraph"/>
        <w:numPr>
          <w:ilvl w:val="0"/>
          <w:numId w:val="39"/>
        </w:numPr>
        <w:shd w:val="clear" w:color="auto" w:fill="FFFFFF"/>
        <w:spacing w:before="206" w:after="206"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Increased oversight of discretionary decision-making in policing, bail, and sentencing</w:t>
      </w:r>
    </w:p>
    <w:p w14:paraId="5B4D5BCC" w14:textId="43CE71B6" w:rsidR="00881834" w:rsidRPr="00912BBF" w:rsidRDefault="00881834" w:rsidP="00912BBF">
      <w:pPr>
        <w:pStyle w:val="ds-markdown-paragraph"/>
        <w:shd w:val="clear" w:color="auto" w:fill="FFFFFF"/>
        <w:spacing w:before="206" w:beforeAutospacing="0" w:after="206"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The persistent overrepresentation of Black individuals in correctional systems constitutes a fundamental failure of Canada's commitment to equality under law. These statistics should serve as both a call to action and a baseline for measuring progress in addressing systemic racism within our justice institutions.</w:t>
      </w:r>
    </w:p>
    <w:p w14:paraId="1477CC1C" w14:textId="77777777" w:rsidR="00EA7F0E" w:rsidRPr="00912BBF" w:rsidRDefault="00EA7F0E" w:rsidP="00912BBF">
      <w:pPr>
        <w:pStyle w:val="ds-markdown-paragraph"/>
        <w:shd w:val="clear" w:color="auto" w:fill="FFFFFF"/>
        <w:spacing w:before="206" w:beforeAutospacing="0" w:after="206"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This overrepresentation is exacerbated by discriminatory institutional practices that subject Black prisoners to heightened surveillance, punitive treatment, and restricted access to rehabilitation. Key manifestations of systemic anti-Black racism in corrections include:</w:t>
      </w:r>
    </w:p>
    <w:p w14:paraId="52DE1354" w14:textId="044A9B8E" w:rsidR="00EA7F0E" w:rsidRPr="00912BBF" w:rsidRDefault="00EA7F0E">
      <w:pPr>
        <w:pStyle w:val="ds-markdown-paragraph"/>
        <w:numPr>
          <w:ilvl w:val="0"/>
          <w:numId w:val="32"/>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Style w:val="Strong"/>
          <w:rFonts w:ascii="Bookman Old Style" w:eastAsiaTheme="majorEastAsia" w:hAnsi="Bookman Old Style" w:cs="Segoe UI"/>
          <w:color w:val="000000" w:themeColor="text1"/>
        </w:rPr>
        <w:t>Disproportionate Security Classifications and Placement</w:t>
      </w:r>
      <w:r w:rsidRPr="00912BBF">
        <w:rPr>
          <w:rFonts w:ascii="Bookman Old Style" w:hAnsi="Bookman Old Style" w:cs="Segoe UI"/>
          <w:color w:val="000000" w:themeColor="text1"/>
        </w:rPr>
        <w:br/>
        <w:t>Black inmates are more likely to be classified as "maximum security" or "high risk" based on assessment tools that incorporate culturally biased indicators. These classifications frequently result in placement in more restrictive facilities, reduced eligibility for parole, and exclusion from vocational or educational programming</w:t>
      </w:r>
      <w:r w:rsidR="00881834" w:rsidRPr="00912BBF">
        <w:rPr>
          <w:rFonts w:ascii="Bookman Old Style" w:hAnsi="Bookman Old Style" w:cs="Segoe UI"/>
          <w:color w:val="000000" w:themeColor="text1"/>
        </w:rPr>
        <w:t xml:space="preserve"> </w:t>
      </w:r>
      <w:r w:rsidRPr="00912BBF">
        <w:rPr>
          <w:rFonts w:ascii="Bookman Old Style" w:hAnsi="Bookman Old Style" w:cs="Segoe UI"/>
          <w:color w:val="000000" w:themeColor="text1"/>
        </w:rPr>
        <w:t>factors that directly impede rehabilitation and reintegration.</w:t>
      </w:r>
    </w:p>
    <w:p w14:paraId="1C527AF7" w14:textId="77777777" w:rsidR="00881834" w:rsidRPr="00912BBF" w:rsidRDefault="00881834" w:rsidP="00912BBF">
      <w:pPr>
        <w:pStyle w:val="ds-markdown-paragraph"/>
        <w:shd w:val="clear" w:color="auto" w:fill="FFFFFF"/>
        <w:spacing w:before="0" w:beforeAutospacing="0" w:after="0" w:afterAutospacing="0" w:line="276" w:lineRule="auto"/>
        <w:ind w:left="720"/>
        <w:jc w:val="both"/>
        <w:rPr>
          <w:rFonts w:ascii="Bookman Old Style" w:hAnsi="Bookman Old Style" w:cs="Segoe UI"/>
          <w:color w:val="000000" w:themeColor="text1"/>
        </w:rPr>
      </w:pPr>
    </w:p>
    <w:p w14:paraId="1A887114" w14:textId="77777777" w:rsidR="00881834" w:rsidRPr="00912BBF" w:rsidRDefault="00EA7F0E">
      <w:pPr>
        <w:pStyle w:val="ds-markdown-paragraph"/>
        <w:numPr>
          <w:ilvl w:val="0"/>
          <w:numId w:val="32"/>
        </w:numPr>
        <w:shd w:val="clear" w:color="auto" w:fill="FFFFFF"/>
        <w:spacing w:before="0" w:beforeAutospacing="0" w:after="0" w:afterAutospacing="0" w:line="276" w:lineRule="auto"/>
        <w:jc w:val="both"/>
        <w:rPr>
          <w:rStyle w:val="Strong"/>
          <w:rFonts w:ascii="Bookman Old Style" w:hAnsi="Bookman Old Style" w:cs="Segoe UI"/>
          <w:b w:val="0"/>
          <w:bCs w:val="0"/>
          <w:color w:val="000000" w:themeColor="text1"/>
        </w:rPr>
      </w:pPr>
      <w:r w:rsidRPr="00912BBF">
        <w:rPr>
          <w:rStyle w:val="Strong"/>
          <w:rFonts w:ascii="Bookman Old Style" w:eastAsiaTheme="majorEastAsia" w:hAnsi="Bookman Old Style" w:cs="Segoe UI"/>
          <w:color w:val="000000" w:themeColor="text1"/>
        </w:rPr>
        <w:t>Excessive Use of Solitary Confinement and Structured Intervention Units (SIUs)</w:t>
      </w:r>
    </w:p>
    <w:p w14:paraId="2C987075" w14:textId="6B690209" w:rsidR="00EA7F0E" w:rsidRPr="00912BBF" w:rsidRDefault="00EA7F0E" w:rsidP="00915D97">
      <w:pPr>
        <w:pStyle w:val="ds-markdown-paragraph"/>
        <w:shd w:val="clear" w:color="auto" w:fill="FFFFFF"/>
        <w:spacing w:before="0" w:beforeAutospacing="0" w:after="0" w:afterAutospacing="0" w:line="276" w:lineRule="auto"/>
        <w:ind w:left="720"/>
        <w:jc w:val="both"/>
        <w:rPr>
          <w:rFonts w:ascii="Bookman Old Style" w:hAnsi="Bookman Old Style" w:cs="Segoe UI"/>
          <w:color w:val="000000" w:themeColor="text1"/>
        </w:rPr>
      </w:pPr>
      <w:r w:rsidRPr="00912BBF">
        <w:rPr>
          <w:rFonts w:ascii="Bookman Old Style" w:hAnsi="Bookman Old Style" w:cs="Segoe UI"/>
          <w:color w:val="000000" w:themeColor="text1"/>
        </w:rPr>
        <w:t xml:space="preserve">Despite legislative reforms intended to restrict the use of prolonged isolation, Black prisoners remain disproportionately subjected to segregation under rebranded frameworks such as SIUs. Isolation is often imposed without meaningful justification, violating statutory requirements for regular reviews </w:t>
      </w:r>
      <w:r w:rsidR="00485966" w:rsidRPr="00912BBF">
        <w:rPr>
          <w:rFonts w:ascii="Bookman Old Style" w:hAnsi="Bookman Old Style" w:cs="Segoe UI"/>
          <w:color w:val="000000" w:themeColor="text1"/>
        </w:rPr>
        <w:t>and so on</w:t>
      </w:r>
      <w:r w:rsidRPr="00912BBF">
        <w:rPr>
          <w:rFonts w:ascii="Bookman Old Style" w:hAnsi="Bookman Old Style" w:cs="Segoe UI"/>
          <w:color w:val="000000" w:themeColor="text1"/>
        </w:rPr>
        <w:t>. The psychological harm inflicted by such practices is well-documented, particularly for individuals already coping with the trauma of systemic marginalization.</w:t>
      </w:r>
    </w:p>
    <w:p w14:paraId="676CDDAD" w14:textId="77777777" w:rsidR="00485966" w:rsidRPr="00912BBF" w:rsidRDefault="00485966" w:rsidP="00912BBF">
      <w:pPr>
        <w:pStyle w:val="ds-markdown-paragraph"/>
        <w:shd w:val="clear" w:color="auto" w:fill="FFFFFF"/>
        <w:spacing w:before="0" w:beforeAutospacing="0" w:after="0" w:afterAutospacing="0" w:line="276" w:lineRule="auto"/>
        <w:ind w:left="720"/>
        <w:jc w:val="both"/>
        <w:rPr>
          <w:rFonts w:ascii="Bookman Old Style" w:hAnsi="Bookman Old Style" w:cs="Segoe UI"/>
          <w:color w:val="000000" w:themeColor="text1"/>
        </w:rPr>
      </w:pPr>
    </w:p>
    <w:p w14:paraId="6F1F0467" w14:textId="77777777" w:rsidR="00EA7F0E" w:rsidRPr="00912BBF" w:rsidRDefault="00EA7F0E">
      <w:pPr>
        <w:pStyle w:val="ds-markdown-paragraph"/>
        <w:numPr>
          <w:ilvl w:val="0"/>
          <w:numId w:val="32"/>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Style w:val="Strong"/>
          <w:rFonts w:ascii="Bookman Old Style" w:eastAsiaTheme="majorEastAsia" w:hAnsi="Bookman Old Style" w:cs="Segoe UI"/>
          <w:color w:val="000000" w:themeColor="text1"/>
        </w:rPr>
        <w:t>Racial Profiling and Mistreatment by Correctional Staff</w:t>
      </w:r>
      <w:r w:rsidRPr="00912BBF">
        <w:rPr>
          <w:rFonts w:ascii="Bookman Old Style" w:hAnsi="Bookman Old Style" w:cs="Segoe UI"/>
          <w:color w:val="000000" w:themeColor="text1"/>
        </w:rPr>
        <w:br/>
        <w:t xml:space="preserve">Black inmates routinely report experiences of racial slurs, excessive use </w:t>
      </w:r>
      <w:r w:rsidRPr="00912BBF">
        <w:rPr>
          <w:rFonts w:ascii="Bookman Old Style" w:hAnsi="Bookman Old Style" w:cs="Segoe UI"/>
          <w:color w:val="000000" w:themeColor="text1"/>
        </w:rPr>
        <w:lastRenderedPageBreak/>
        <w:t>of force, and targeted disciplinary measures. These incidents are rarely investigated thoroughly, and complainants often face retaliation, including further restrictions or punitive transfers. The lack of accountability for staff misconduct perpetuates a culture of impunity that normalizes discrimination.</w:t>
      </w:r>
    </w:p>
    <w:p w14:paraId="30D63E04" w14:textId="77777777" w:rsidR="00485966" w:rsidRPr="00912BBF" w:rsidRDefault="00485966" w:rsidP="00912BBF">
      <w:pPr>
        <w:pStyle w:val="ds-markdown-paragraph"/>
        <w:shd w:val="clear" w:color="auto" w:fill="FFFFFF"/>
        <w:spacing w:before="0" w:beforeAutospacing="0" w:after="0" w:afterAutospacing="0" w:line="276" w:lineRule="auto"/>
        <w:ind w:left="720"/>
        <w:jc w:val="both"/>
        <w:rPr>
          <w:rFonts w:ascii="Bookman Old Style" w:hAnsi="Bookman Old Style" w:cs="Segoe UI"/>
          <w:color w:val="000000" w:themeColor="text1"/>
        </w:rPr>
      </w:pPr>
    </w:p>
    <w:p w14:paraId="31380461" w14:textId="77777777" w:rsidR="00485966" w:rsidRPr="00912BBF" w:rsidRDefault="00EA7F0E">
      <w:pPr>
        <w:pStyle w:val="ds-markdown-paragraph"/>
        <w:numPr>
          <w:ilvl w:val="0"/>
          <w:numId w:val="32"/>
        </w:numPr>
        <w:shd w:val="clear" w:color="auto" w:fill="FFFFFF"/>
        <w:spacing w:before="0" w:beforeAutospacing="0" w:after="0" w:afterAutospacing="0" w:line="276" w:lineRule="auto"/>
        <w:jc w:val="both"/>
        <w:rPr>
          <w:rStyle w:val="Strong"/>
          <w:rFonts w:ascii="Bookman Old Style" w:hAnsi="Bookman Old Style" w:cs="Segoe UI"/>
          <w:b w:val="0"/>
          <w:bCs w:val="0"/>
          <w:color w:val="000000" w:themeColor="text1"/>
        </w:rPr>
      </w:pPr>
      <w:r w:rsidRPr="00912BBF">
        <w:rPr>
          <w:rStyle w:val="Strong"/>
          <w:rFonts w:ascii="Bookman Old Style" w:eastAsiaTheme="majorEastAsia" w:hAnsi="Bookman Old Style" w:cs="Segoe UI"/>
          <w:color w:val="000000" w:themeColor="text1"/>
        </w:rPr>
        <w:t>Barriers to Culturally Appropriate Services</w:t>
      </w:r>
    </w:p>
    <w:p w14:paraId="13F8E3B3" w14:textId="005C0F2D" w:rsidR="00EA7F0E" w:rsidRPr="00912BBF" w:rsidRDefault="00EA7F0E" w:rsidP="00915D97">
      <w:pPr>
        <w:pStyle w:val="ds-markdown-paragraph"/>
        <w:shd w:val="clear" w:color="auto" w:fill="FFFFFF"/>
        <w:spacing w:before="0" w:beforeAutospacing="0" w:after="0" w:afterAutospacing="0" w:line="276" w:lineRule="auto"/>
        <w:ind w:left="720"/>
        <w:jc w:val="both"/>
        <w:rPr>
          <w:rFonts w:ascii="Bookman Old Style" w:hAnsi="Bookman Old Style" w:cs="Segoe UI"/>
          <w:color w:val="000000" w:themeColor="text1"/>
        </w:rPr>
      </w:pPr>
      <w:r w:rsidRPr="00912BBF">
        <w:rPr>
          <w:rFonts w:ascii="Bookman Old Style" w:hAnsi="Bookman Old Style" w:cs="Segoe UI"/>
          <w:color w:val="000000" w:themeColor="text1"/>
        </w:rPr>
        <w:t>Black prisoners face significant obstacles in accessing mental health care, religious accommodations, and rehabilitative programs that account for their cultural and community contexts. The absence of culturally competent staff exacerbates these gaps, leaving many Black inmates without adequate support to address trauma, substance use, or other underlying factors contributing to incarceration.</w:t>
      </w:r>
    </w:p>
    <w:p w14:paraId="427D39EC" w14:textId="77777777" w:rsidR="00485966" w:rsidRPr="00912BBF" w:rsidRDefault="00485966" w:rsidP="00912BBF">
      <w:pPr>
        <w:pStyle w:val="ds-markdown-paragraph"/>
        <w:shd w:val="clear" w:color="auto" w:fill="FFFFFF"/>
        <w:spacing w:before="0" w:beforeAutospacing="0" w:after="0" w:afterAutospacing="0" w:line="276" w:lineRule="auto"/>
        <w:ind w:left="720"/>
        <w:jc w:val="both"/>
        <w:rPr>
          <w:rFonts w:ascii="Bookman Old Style" w:hAnsi="Bookman Old Style" w:cs="Segoe UI"/>
          <w:color w:val="000000" w:themeColor="text1"/>
        </w:rPr>
      </w:pPr>
    </w:p>
    <w:p w14:paraId="4E43FC4E" w14:textId="77777777" w:rsidR="00EA7F0E" w:rsidRPr="00912BBF" w:rsidRDefault="00EA7F0E" w:rsidP="00915D97">
      <w:pPr>
        <w:pStyle w:val="Heading3"/>
        <w:shd w:val="clear" w:color="auto" w:fill="FFFFFF"/>
        <w:spacing w:before="274" w:after="0" w:line="276" w:lineRule="auto"/>
        <w:jc w:val="both"/>
        <w:rPr>
          <w:rFonts w:ascii="Bookman Old Style" w:hAnsi="Bookman Old Style" w:cs="Segoe UI"/>
          <w:color w:val="000000" w:themeColor="text1"/>
          <w:sz w:val="24"/>
          <w:szCs w:val="24"/>
        </w:rPr>
      </w:pPr>
      <w:bookmarkStart w:id="3" w:name="_Toc199153163"/>
      <w:r w:rsidRPr="00912BBF">
        <w:rPr>
          <w:rStyle w:val="Strong"/>
          <w:rFonts w:ascii="Bookman Old Style" w:hAnsi="Bookman Old Style" w:cs="Segoe UI"/>
          <w:color w:val="000000" w:themeColor="text1"/>
          <w:sz w:val="24"/>
          <w:szCs w:val="24"/>
        </w:rPr>
        <w:t>III. The Illusion of Redress: Failures of the Correctional Grievance System</w:t>
      </w:r>
      <w:bookmarkEnd w:id="3"/>
    </w:p>
    <w:p w14:paraId="2133119B" w14:textId="77777777" w:rsidR="00EA7F0E" w:rsidRPr="00912BBF" w:rsidRDefault="00EA7F0E" w:rsidP="00912BBF">
      <w:pPr>
        <w:pStyle w:val="ds-markdown-paragraph"/>
        <w:shd w:val="clear" w:color="auto" w:fill="FFFFFF"/>
        <w:spacing w:before="206" w:beforeAutospacing="0" w:after="206"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The CCRA establishes a multi-tiered grievance process designed to provide inmates with a mechanism to challenge mistreatment and violations of their rights. In practice, however, this system is structurally incapable of addressing complaints of racial discrimination, owing to several critical flaws:</w:t>
      </w:r>
    </w:p>
    <w:p w14:paraId="53F52107" w14:textId="77777777" w:rsidR="00485966" w:rsidRPr="00912BBF" w:rsidRDefault="00EA7F0E">
      <w:pPr>
        <w:pStyle w:val="ds-markdown-paragraph"/>
        <w:numPr>
          <w:ilvl w:val="0"/>
          <w:numId w:val="33"/>
        </w:numPr>
        <w:shd w:val="clear" w:color="auto" w:fill="FFFFFF"/>
        <w:spacing w:before="0" w:beforeAutospacing="0" w:after="0" w:afterAutospacing="0" w:line="276" w:lineRule="auto"/>
        <w:jc w:val="both"/>
        <w:rPr>
          <w:rStyle w:val="Strong"/>
          <w:rFonts w:ascii="Bookman Old Style" w:hAnsi="Bookman Old Style" w:cs="Segoe UI"/>
          <w:b w:val="0"/>
          <w:bCs w:val="0"/>
          <w:color w:val="000000" w:themeColor="text1"/>
        </w:rPr>
      </w:pPr>
      <w:r w:rsidRPr="00912BBF">
        <w:rPr>
          <w:rStyle w:val="Strong"/>
          <w:rFonts w:ascii="Bookman Old Style" w:eastAsiaTheme="majorEastAsia" w:hAnsi="Bookman Old Style" w:cs="Segoe UI"/>
          <w:color w:val="000000" w:themeColor="text1"/>
        </w:rPr>
        <w:t>Institutional Bias and Lack of Independence</w:t>
      </w:r>
    </w:p>
    <w:p w14:paraId="3F3735E9" w14:textId="199D2D7C" w:rsidR="00EA7F0E" w:rsidRPr="00912BBF" w:rsidRDefault="00EA7F0E" w:rsidP="00912BBF">
      <w:pPr>
        <w:pStyle w:val="ds-markdown-paragraph"/>
        <w:shd w:val="clear" w:color="auto" w:fill="FFFFFF"/>
        <w:spacing w:before="0" w:beforeAutospacing="0" w:after="0" w:afterAutospacing="0" w:line="276" w:lineRule="auto"/>
        <w:ind w:left="720"/>
        <w:jc w:val="both"/>
        <w:rPr>
          <w:rFonts w:ascii="Bookman Old Style" w:hAnsi="Bookman Old Style" w:cs="Segoe UI"/>
          <w:color w:val="000000" w:themeColor="text1"/>
        </w:rPr>
      </w:pPr>
      <w:r w:rsidRPr="00912BBF">
        <w:rPr>
          <w:rFonts w:ascii="Bookman Old Style" w:hAnsi="Bookman Old Style" w:cs="Segoe UI"/>
          <w:color w:val="000000" w:themeColor="text1"/>
        </w:rPr>
        <w:t>Grievances are adjudicated by correctional staff</w:t>
      </w:r>
      <w:r w:rsidR="00485966" w:rsidRPr="00912BBF">
        <w:rPr>
          <w:rFonts w:ascii="Bookman Old Style" w:hAnsi="Bookman Old Style" w:cs="Segoe UI"/>
          <w:color w:val="000000" w:themeColor="text1"/>
        </w:rPr>
        <w:t xml:space="preserve"> - </w:t>
      </w:r>
      <w:r w:rsidRPr="00912BBF">
        <w:rPr>
          <w:rFonts w:ascii="Bookman Old Style" w:hAnsi="Bookman Old Style" w:cs="Segoe UI"/>
          <w:color w:val="000000" w:themeColor="text1"/>
        </w:rPr>
        <w:t xml:space="preserve">the same individuals and systems implicated in the alleged misconduct. This inherent conflict of interest results in dismissals of credible complaints, with racial discrimination claims being disproportionately </w:t>
      </w:r>
      <w:r w:rsidR="00485966" w:rsidRPr="00912BBF">
        <w:rPr>
          <w:rFonts w:ascii="Bookman Old Style" w:hAnsi="Bookman Old Style" w:cs="Segoe UI"/>
          <w:color w:val="000000" w:themeColor="text1"/>
        </w:rPr>
        <w:t>labelled</w:t>
      </w:r>
      <w:r w:rsidRPr="00912BBF">
        <w:rPr>
          <w:rFonts w:ascii="Bookman Old Style" w:hAnsi="Bookman Old Style" w:cs="Segoe UI"/>
          <w:color w:val="000000" w:themeColor="text1"/>
        </w:rPr>
        <w:t xml:space="preserve"> "unfounded" or dismissed on procedural grounds.</w:t>
      </w:r>
    </w:p>
    <w:p w14:paraId="55C0ACFA" w14:textId="77777777" w:rsidR="00485966" w:rsidRPr="00912BBF" w:rsidRDefault="00485966" w:rsidP="00912BBF">
      <w:pPr>
        <w:pStyle w:val="ds-markdown-paragraph"/>
        <w:shd w:val="clear" w:color="auto" w:fill="FFFFFF"/>
        <w:spacing w:before="0" w:beforeAutospacing="0" w:after="0" w:afterAutospacing="0" w:line="276" w:lineRule="auto"/>
        <w:ind w:left="720"/>
        <w:jc w:val="both"/>
        <w:rPr>
          <w:rFonts w:ascii="Bookman Old Style" w:hAnsi="Bookman Old Style" w:cs="Segoe UI"/>
          <w:color w:val="000000" w:themeColor="text1"/>
        </w:rPr>
      </w:pPr>
    </w:p>
    <w:p w14:paraId="5DE3464B" w14:textId="77777777" w:rsidR="00485966" w:rsidRPr="00912BBF" w:rsidRDefault="00EA7F0E">
      <w:pPr>
        <w:pStyle w:val="ds-markdown-paragraph"/>
        <w:numPr>
          <w:ilvl w:val="0"/>
          <w:numId w:val="33"/>
        </w:numPr>
        <w:shd w:val="clear" w:color="auto" w:fill="FFFFFF"/>
        <w:spacing w:before="0" w:beforeAutospacing="0" w:after="0" w:afterAutospacing="0" w:line="276" w:lineRule="auto"/>
        <w:jc w:val="both"/>
        <w:rPr>
          <w:rStyle w:val="Strong"/>
          <w:rFonts w:ascii="Bookman Old Style" w:hAnsi="Bookman Old Style" w:cs="Segoe UI"/>
          <w:b w:val="0"/>
          <w:bCs w:val="0"/>
          <w:color w:val="000000" w:themeColor="text1"/>
        </w:rPr>
      </w:pPr>
      <w:r w:rsidRPr="00912BBF">
        <w:rPr>
          <w:rStyle w:val="Strong"/>
          <w:rFonts w:ascii="Bookman Old Style" w:eastAsiaTheme="majorEastAsia" w:hAnsi="Bookman Old Style" w:cs="Segoe UI"/>
          <w:color w:val="000000" w:themeColor="text1"/>
        </w:rPr>
        <w:t>Procedural Barriers and Fear of Retaliation</w:t>
      </w:r>
    </w:p>
    <w:p w14:paraId="441BF3E0" w14:textId="3DFE8E03" w:rsidR="00EA7F0E" w:rsidRPr="00912BBF" w:rsidRDefault="00EA7F0E" w:rsidP="00912BBF">
      <w:pPr>
        <w:pStyle w:val="ds-markdown-paragraph"/>
        <w:shd w:val="clear" w:color="auto" w:fill="FFFFFF"/>
        <w:spacing w:before="0" w:beforeAutospacing="0" w:after="0" w:afterAutospacing="0" w:line="276" w:lineRule="auto"/>
        <w:ind w:left="720"/>
        <w:jc w:val="both"/>
        <w:rPr>
          <w:rFonts w:ascii="Bookman Old Style" w:hAnsi="Bookman Old Style" w:cs="Segoe UI"/>
          <w:color w:val="000000" w:themeColor="text1"/>
        </w:rPr>
      </w:pPr>
      <w:r w:rsidRPr="00912BBF">
        <w:rPr>
          <w:rFonts w:ascii="Bookman Old Style" w:hAnsi="Bookman Old Style" w:cs="Segoe UI"/>
          <w:color w:val="000000" w:themeColor="text1"/>
        </w:rPr>
        <w:t>The grievance process is notoriously bureaucratic, requiring precise formalities that many inmates, particularly those with limited literacy or legal knowledge, cannot navigate without assistance. For Black prisoners, the risk of retaliation</w:t>
      </w:r>
      <w:r w:rsidR="00485966" w:rsidRPr="00912BBF">
        <w:rPr>
          <w:rFonts w:ascii="Bookman Old Style" w:hAnsi="Bookman Old Style" w:cs="Segoe UI"/>
          <w:color w:val="000000" w:themeColor="text1"/>
        </w:rPr>
        <w:t xml:space="preserve">, </w:t>
      </w:r>
      <w:r w:rsidRPr="00912BBF">
        <w:rPr>
          <w:rFonts w:ascii="Bookman Old Style" w:hAnsi="Bookman Old Style" w:cs="Segoe UI"/>
          <w:color w:val="000000" w:themeColor="text1"/>
        </w:rPr>
        <w:t>including increased surveillance, loss of privileges, or physical retaliation</w:t>
      </w:r>
      <w:r w:rsidR="00485966" w:rsidRPr="00912BBF">
        <w:rPr>
          <w:rFonts w:ascii="Bookman Old Style" w:hAnsi="Bookman Old Style" w:cs="Segoe UI"/>
          <w:color w:val="000000" w:themeColor="text1"/>
        </w:rPr>
        <w:t xml:space="preserve">, </w:t>
      </w:r>
      <w:r w:rsidRPr="00912BBF">
        <w:rPr>
          <w:rFonts w:ascii="Bookman Old Style" w:hAnsi="Bookman Old Style" w:cs="Segoe UI"/>
          <w:color w:val="000000" w:themeColor="text1"/>
        </w:rPr>
        <w:t>further discourages complaints.</w:t>
      </w:r>
    </w:p>
    <w:p w14:paraId="73E72551" w14:textId="77777777" w:rsidR="00485966" w:rsidRPr="00912BBF" w:rsidRDefault="00485966" w:rsidP="00912BBF">
      <w:pPr>
        <w:pStyle w:val="ds-markdown-paragraph"/>
        <w:shd w:val="clear" w:color="auto" w:fill="FFFFFF"/>
        <w:spacing w:before="0" w:beforeAutospacing="0" w:after="0" w:afterAutospacing="0" w:line="276" w:lineRule="auto"/>
        <w:ind w:left="720"/>
        <w:jc w:val="both"/>
        <w:rPr>
          <w:rFonts w:ascii="Bookman Old Style" w:hAnsi="Bookman Old Style" w:cs="Segoe UI"/>
          <w:color w:val="000000" w:themeColor="text1"/>
        </w:rPr>
      </w:pPr>
    </w:p>
    <w:p w14:paraId="6F5A00D6" w14:textId="77777777" w:rsidR="00485966" w:rsidRPr="00912BBF" w:rsidRDefault="00EA7F0E">
      <w:pPr>
        <w:pStyle w:val="ds-markdown-paragraph"/>
        <w:numPr>
          <w:ilvl w:val="0"/>
          <w:numId w:val="33"/>
        </w:numPr>
        <w:shd w:val="clear" w:color="auto" w:fill="FFFFFF"/>
        <w:spacing w:before="0" w:beforeAutospacing="0" w:after="0" w:afterAutospacing="0" w:line="276" w:lineRule="auto"/>
        <w:jc w:val="both"/>
        <w:rPr>
          <w:rStyle w:val="Strong"/>
          <w:rFonts w:ascii="Bookman Old Style" w:hAnsi="Bookman Old Style" w:cs="Segoe UI"/>
          <w:b w:val="0"/>
          <w:bCs w:val="0"/>
          <w:color w:val="000000" w:themeColor="text1"/>
        </w:rPr>
      </w:pPr>
      <w:r w:rsidRPr="00912BBF">
        <w:rPr>
          <w:rStyle w:val="Strong"/>
          <w:rFonts w:ascii="Bookman Old Style" w:eastAsiaTheme="majorEastAsia" w:hAnsi="Bookman Old Style" w:cs="Segoe UI"/>
          <w:color w:val="000000" w:themeColor="text1"/>
        </w:rPr>
        <w:t>Systemic Disregard for Patterns of Discrimination</w:t>
      </w:r>
    </w:p>
    <w:p w14:paraId="7F67B61B" w14:textId="6ADF111E" w:rsidR="00EA7F0E" w:rsidRPr="00912BBF" w:rsidRDefault="00EA7F0E" w:rsidP="00912BBF">
      <w:pPr>
        <w:pStyle w:val="ds-markdown-paragraph"/>
        <w:shd w:val="clear" w:color="auto" w:fill="FFFFFF"/>
        <w:spacing w:before="0" w:beforeAutospacing="0" w:after="0" w:afterAutospacing="0" w:line="276" w:lineRule="auto"/>
        <w:ind w:left="720"/>
        <w:jc w:val="both"/>
        <w:rPr>
          <w:rFonts w:ascii="Bookman Old Style" w:hAnsi="Bookman Old Style" w:cs="Segoe UI"/>
          <w:color w:val="000000" w:themeColor="text1"/>
        </w:rPr>
      </w:pPr>
      <w:r w:rsidRPr="00912BBF">
        <w:rPr>
          <w:rFonts w:ascii="Bookman Old Style" w:hAnsi="Bookman Old Style" w:cs="Segoe UI"/>
          <w:color w:val="000000" w:themeColor="text1"/>
        </w:rPr>
        <w:t>While individual grievances may be dismissed as anecdotal, aggregate data reveals clear patterns of anti-Black racism in corrections. The OCI and other oversight bodies have repeatedly highlighted these trends, yet the grievance system remains ill-equipped to address systemic issues, focusing instead on isolating individual complaints without contextual analysis.</w:t>
      </w:r>
    </w:p>
    <w:p w14:paraId="4FC0C129" w14:textId="77777777" w:rsidR="00485966" w:rsidRPr="00912BBF" w:rsidRDefault="00485966" w:rsidP="00912BBF">
      <w:pPr>
        <w:pStyle w:val="ds-markdown-paragraph"/>
        <w:shd w:val="clear" w:color="auto" w:fill="FFFFFF"/>
        <w:spacing w:before="0" w:beforeAutospacing="0" w:after="0" w:afterAutospacing="0" w:line="276" w:lineRule="auto"/>
        <w:ind w:left="720"/>
        <w:jc w:val="both"/>
        <w:rPr>
          <w:rFonts w:ascii="Bookman Old Style" w:hAnsi="Bookman Old Style" w:cs="Segoe UI"/>
          <w:color w:val="000000" w:themeColor="text1"/>
        </w:rPr>
      </w:pPr>
    </w:p>
    <w:p w14:paraId="2D477C1A" w14:textId="77777777" w:rsidR="00485966" w:rsidRPr="00912BBF" w:rsidRDefault="00EA7F0E">
      <w:pPr>
        <w:pStyle w:val="ds-markdown-paragraph"/>
        <w:numPr>
          <w:ilvl w:val="0"/>
          <w:numId w:val="33"/>
        </w:numPr>
        <w:shd w:val="clear" w:color="auto" w:fill="FFFFFF"/>
        <w:spacing w:before="0" w:beforeAutospacing="0" w:after="0" w:afterAutospacing="0" w:line="276" w:lineRule="auto"/>
        <w:jc w:val="both"/>
        <w:rPr>
          <w:rStyle w:val="Strong"/>
          <w:rFonts w:ascii="Bookman Old Style" w:hAnsi="Bookman Old Style" w:cs="Segoe UI"/>
          <w:b w:val="0"/>
          <w:bCs w:val="0"/>
          <w:color w:val="000000" w:themeColor="text1"/>
        </w:rPr>
      </w:pPr>
      <w:r w:rsidRPr="00912BBF">
        <w:rPr>
          <w:rStyle w:val="Strong"/>
          <w:rFonts w:ascii="Bookman Old Style" w:eastAsiaTheme="majorEastAsia" w:hAnsi="Bookman Old Style" w:cs="Segoe UI"/>
          <w:color w:val="000000" w:themeColor="text1"/>
        </w:rPr>
        <w:t>Absence of Meaningful Remedies</w:t>
      </w:r>
    </w:p>
    <w:p w14:paraId="2D35AB89" w14:textId="5AD3B81D" w:rsidR="00485966" w:rsidRPr="00912BBF" w:rsidRDefault="00EA7F0E" w:rsidP="00915D97">
      <w:pPr>
        <w:pStyle w:val="ds-markdown-paragraph"/>
        <w:shd w:val="clear" w:color="auto" w:fill="FFFFFF"/>
        <w:spacing w:before="0" w:beforeAutospacing="0" w:after="0" w:afterAutospacing="0" w:line="276" w:lineRule="auto"/>
        <w:ind w:left="720"/>
        <w:jc w:val="both"/>
        <w:rPr>
          <w:rFonts w:ascii="Bookman Old Style" w:hAnsi="Bookman Old Style" w:cs="Segoe UI"/>
          <w:color w:val="000000" w:themeColor="text1"/>
        </w:rPr>
      </w:pPr>
      <w:r w:rsidRPr="00912BBF">
        <w:rPr>
          <w:rFonts w:ascii="Bookman Old Style" w:hAnsi="Bookman Old Style" w:cs="Segoe UI"/>
          <w:color w:val="000000" w:themeColor="text1"/>
        </w:rPr>
        <w:t>Even when grievances are upheld, remedies are often inadequate</w:t>
      </w:r>
      <w:r w:rsidR="00485966" w:rsidRPr="00912BBF">
        <w:rPr>
          <w:rFonts w:ascii="Bookman Old Style" w:hAnsi="Bookman Old Style" w:cs="Segoe UI"/>
          <w:color w:val="000000" w:themeColor="text1"/>
        </w:rPr>
        <w:t xml:space="preserve"> </w:t>
      </w:r>
      <w:r w:rsidRPr="00912BBF">
        <w:rPr>
          <w:rFonts w:ascii="Bookman Old Style" w:hAnsi="Bookman Old Style" w:cs="Segoe UI"/>
          <w:color w:val="000000" w:themeColor="text1"/>
        </w:rPr>
        <w:t>typically limited to informal resolutions or nominal apologies without structural changes. Monetary compensation is exceedingly rare, and there is no mechanism to ensure corrective measures are implemented or monitored.</w:t>
      </w:r>
    </w:p>
    <w:p w14:paraId="5D289785" w14:textId="77777777" w:rsidR="00EA7F0E" w:rsidRPr="00912BBF" w:rsidRDefault="00EA7F0E" w:rsidP="00915D97">
      <w:pPr>
        <w:pStyle w:val="Heading3"/>
        <w:shd w:val="clear" w:color="auto" w:fill="FFFFFF"/>
        <w:spacing w:before="274" w:after="0" w:line="276" w:lineRule="auto"/>
        <w:jc w:val="both"/>
        <w:rPr>
          <w:rFonts w:ascii="Bookman Old Style" w:hAnsi="Bookman Old Style" w:cs="Segoe UI"/>
          <w:color w:val="000000" w:themeColor="text1"/>
          <w:sz w:val="24"/>
          <w:szCs w:val="24"/>
        </w:rPr>
      </w:pPr>
      <w:bookmarkStart w:id="4" w:name="_Toc199153164"/>
      <w:r w:rsidRPr="00912BBF">
        <w:rPr>
          <w:rStyle w:val="Strong"/>
          <w:rFonts w:ascii="Bookman Old Style" w:hAnsi="Bookman Old Style" w:cs="Segoe UI"/>
          <w:color w:val="000000" w:themeColor="text1"/>
          <w:sz w:val="24"/>
          <w:szCs w:val="24"/>
        </w:rPr>
        <w:t>IV. Legal Strategies for Defence Counsel: Advocacy and Accountability</w:t>
      </w:r>
      <w:bookmarkEnd w:id="4"/>
    </w:p>
    <w:p w14:paraId="7949B8F5" w14:textId="0AB6EDF6" w:rsidR="00EA7F0E" w:rsidRPr="00912BBF" w:rsidRDefault="00EA7F0E" w:rsidP="00915D97">
      <w:pPr>
        <w:pStyle w:val="ds-markdown-paragraph"/>
        <w:shd w:val="clear" w:color="auto" w:fill="FFFFFF"/>
        <w:spacing w:before="0" w:beforeAutospacing="0" w:after="206"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 xml:space="preserve">Defence lawyers </w:t>
      </w:r>
      <w:r w:rsidR="00485966" w:rsidRPr="00912BBF">
        <w:rPr>
          <w:rFonts w:ascii="Bookman Old Style" w:hAnsi="Bookman Old Style" w:cs="Segoe UI"/>
          <w:color w:val="000000" w:themeColor="text1"/>
        </w:rPr>
        <w:t xml:space="preserve">particularly those who practice </w:t>
      </w:r>
      <w:proofErr w:type="gramStart"/>
      <w:r w:rsidR="00485966" w:rsidRPr="00912BBF">
        <w:rPr>
          <w:rFonts w:ascii="Bookman Old Style" w:hAnsi="Bookman Old Style" w:cs="Segoe UI"/>
          <w:color w:val="000000" w:themeColor="text1"/>
        </w:rPr>
        <w:t>in the area of</w:t>
      </w:r>
      <w:proofErr w:type="gramEnd"/>
      <w:r w:rsidR="00485966" w:rsidRPr="00912BBF">
        <w:rPr>
          <w:rFonts w:ascii="Bookman Old Style" w:hAnsi="Bookman Old Style" w:cs="Segoe UI"/>
          <w:color w:val="000000" w:themeColor="text1"/>
        </w:rPr>
        <w:t xml:space="preserve"> prison law, </w:t>
      </w:r>
      <w:r w:rsidRPr="00912BBF">
        <w:rPr>
          <w:rFonts w:ascii="Bookman Old Style" w:hAnsi="Bookman Old Style" w:cs="Segoe UI"/>
          <w:color w:val="000000" w:themeColor="text1"/>
        </w:rPr>
        <w:t>play a pivotal role in challenging systemic anti-Black racism, both at sentencing and throughout incarceration. The following strategies can be employed to protect clients' rights and compel institutional accountability:</w:t>
      </w:r>
    </w:p>
    <w:p w14:paraId="2C1ECDF3" w14:textId="77777777" w:rsidR="00915D97" w:rsidRDefault="00EA7F0E" w:rsidP="00915D97">
      <w:pPr>
        <w:pStyle w:val="Heading4"/>
        <w:shd w:val="clear" w:color="auto" w:fill="FFFFFF"/>
        <w:spacing w:before="274" w:after="206" w:line="276" w:lineRule="auto"/>
        <w:jc w:val="both"/>
        <w:rPr>
          <w:rStyle w:val="Strong"/>
          <w:rFonts w:ascii="Bookman Old Style" w:hAnsi="Bookman Old Style" w:cs="Segoe UI"/>
          <w:color w:val="000000" w:themeColor="text1"/>
        </w:rPr>
      </w:pPr>
      <w:r w:rsidRPr="00912BBF">
        <w:rPr>
          <w:rStyle w:val="Strong"/>
          <w:rFonts w:ascii="Bookman Old Style" w:hAnsi="Bookman Old Style" w:cs="Segoe UI"/>
          <w:color w:val="000000" w:themeColor="text1"/>
        </w:rPr>
        <w:t>A. Pre-Sentencing Advocacy: Cultural Impact Assessments (CIAs) and Sentencing Submissions</w:t>
      </w:r>
    </w:p>
    <w:p w14:paraId="4AFC8D8A" w14:textId="51EA7F34" w:rsidR="00EA7F0E" w:rsidRPr="00915D97" w:rsidRDefault="00EA7F0E" w:rsidP="00915D97">
      <w:pPr>
        <w:pStyle w:val="Heading4"/>
        <w:shd w:val="clear" w:color="auto" w:fill="FFFFFF"/>
        <w:spacing w:before="0" w:after="0" w:line="276" w:lineRule="auto"/>
        <w:jc w:val="both"/>
        <w:rPr>
          <w:rFonts w:ascii="Bookman Old Style" w:hAnsi="Bookman Old Style" w:cs="Segoe UI"/>
          <w:i w:val="0"/>
          <w:iCs w:val="0"/>
          <w:color w:val="000000" w:themeColor="text1"/>
        </w:rPr>
      </w:pPr>
      <w:r w:rsidRPr="00915D97">
        <w:rPr>
          <w:rFonts w:ascii="Bookman Old Style" w:hAnsi="Bookman Old Style" w:cs="Segoe UI"/>
          <w:i w:val="0"/>
          <w:iCs w:val="0"/>
          <w:color w:val="000000" w:themeColor="text1"/>
        </w:rPr>
        <w:t>Building on the precedent set in </w:t>
      </w:r>
      <w:r w:rsidRPr="00915D97">
        <w:rPr>
          <w:rStyle w:val="Emphasis"/>
          <w:rFonts w:ascii="Bookman Old Style" w:hAnsi="Bookman Old Style" w:cs="Segoe UI"/>
          <w:i/>
          <w:iCs/>
          <w:color w:val="000000" w:themeColor="text1"/>
        </w:rPr>
        <w:t>R. v. Morris</w:t>
      </w:r>
      <w:r w:rsidRPr="00915D97">
        <w:rPr>
          <w:rFonts w:ascii="Bookman Old Style" w:hAnsi="Bookman Old Style" w:cs="Segoe UI"/>
          <w:i w:val="0"/>
          <w:iCs w:val="0"/>
          <w:color w:val="000000" w:themeColor="text1"/>
        </w:rPr>
        <w:t>, 2021 ONCA 680, defence counsel should commission </w:t>
      </w:r>
      <w:r w:rsidRPr="00915D97">
        <w:rPr>
          <w:rStyle w:val="Strong"/>
          <w:rFonts w:ascii="Bookman Old Style" w:hAnsi="Bookman Old Style" w:cs="Segoe UI"/>
          <w:b w:val="0"/>
          <w:bCs w:val="0"/>
          <w:i w:val="0"/>
          <w:iCs w:val="0"/>
          <w:color w:val="000000" w:themeColor="text1"/>
        </w:rPr>
        <w:t>Cultural Impact Assessments</w:t>
      </w:r>
      <w:r w:rsidRPr="00915D97">
        <w:rPr>
          <w:rFonts w:ascii="Bookman Old Style" w:hAnsi="Bookman Old Style" w:cs="Segoe UI"/>
          <w:i w:val="0"/>
          <w:iCs w:val="0"/>
          <w:color w:val="000000" w:themeColor="text1"/>
        </w:rPr>
        <w:t> to document how systemic racism will affect a client's prison experience. These reports, prepared by experts in criminology, social work, or Black community advocacy, can inform sentencing judges of:</w:t>
      </w:r>
    </w:p>
    <w:p w14:paraId="55CEB642" w14:textId="3405EA19" w:rsidR="00EA7F0E" w:rsidRPr="00912BBF" w:rsidRDefault="00EA7F0E">
      <w:pPr>
        <w:pStyle w:val="ds-markdown-paragraph"/>
        <w:numPr>
          <w:ilvl w:val="0"/>
          <w:numId w:val="34"/>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 xml:space="preserve">The heightened risk of segregation, violence, or discriminatory treatment in </w:t>
      </w:r>
      <w:r w:rsidR="00020F92" w:rsidRPr="00912BBF">
        <w:rPr>
          <w:rFonts w:ascii="Bookman Old Style" w:hAnsi="Bookman Old Style" w:cs="Segoe UI"/>
          <w:color w:val="000000" w:themeColor="text1"/>
        </w:rPr>
        <w:t>custody.</w:t>
      </w:r>
    </w:p>
    <w:p w14:paraId="7632D49F" w14:textId="32DDA507" w:rsidR="00EA7F0E" w:rsidRPr="00912BBF" w:rsidRDefault="00EA7F0E">
      <w:pPr>
        <w:pStyle w:val="ds-markdown-paragraph"/>
        <w:numPr>
          <w:ilvl w:val="0"/>
          <w:numId w:val="34"/>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 xml:space="preserve">Barriers to parole and rehabilitation stemming from biased risk </w:t>
      </w:r>
      <w:r w:rsidR="00020F92" w:rsidRPr="00912BBF">
        <w:rPr>
          <w:rFonts w:ascii="Bookman Old Style" w:hAnsi="Bookman Old Style" w:cs="Segoe UI"/>
          <w:color w:val="000000" w:themeColor="text1"/>
        </w:rPr>
        <w:t>assessments.</w:t>
      </w:r>
    </w:p>
    <w:p w14:paraId="1713BF04" w14:textId="77777777" w:rsidR="00EA7F0E" w:rsidRPr="00912BBF" w:rsidRDefault="00EA7F0E">
      <w:pPr>
        <w:pStyle w:val="ds-markdown-paragraph"/>
        <w:numPr>
          <w:ilvl w:val="0"/>
          <w:numId w:val="34"/>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The psychological toll of incarceration in a racially hostile environment.</w:t>
      </w:r>
    </w:p>
    <w:p w14:paraId="6B93BB9E" w14:textId="77777777" w:rsidR="00EA7F0E" w:rsidRPr="00912BBF" w:rsidRDefault="00EA7F0E" w:rsidP="00912BBF">
      <w:pPr>
        <w:pStyle w:val="ds-markdown-paragraph"/>
        <w:shd w:val="clear" w:color="auto" w:fill="FFFFFF"/>
        <w:spacing w:before="206" w:beforeAutospacing="0" w:after="206"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Such evidence can support arguments for </w:t>
      </w:r>
      <w:r w:rsidRPr="00912BBF">
        <w:rPr>
          <w:rStyle w:val="Strong"/>
          <w:rFonts w:ascii="Bookman Old Style" w:eastAsiaTheme="majorEastAsia" w:hAnsi="Bookman Old Style" w:cs="Segoe UI"/>
          <w:b w:val="0"/>
          <w:bCs w:val="0"/>
          <w:color w:val="000000" w:themeColor="text1"/>
        </w:rPr>
        <w:t>non-custodial sentences</w:t>
      </w:r>
      <w:r w:rsidRPr="00912BBF">
        <w:rPr>
          <w:rFonts w:ascii="Bookman Old Style" w:hAnsi="Bookman Old Style" w:cs="Segoe UI"/>
          <w:color w:val="000000" w:themeColor="text1"/>
        </w:rPr>
        <w:t> or, where incarceration is unavoidable, judicial recommendations for placement in institutions with demonstrated cultural competency.</w:t>
      </w:r>
    </w:p>
    <w:p w14:paraId="1D917AF6" w14:textId="77777777" w:rsidR="00EA7F0E" w:rsidRPr="00912BBF" w:rsidRDefault="00EA7F0E" w:rsidP="00915D97">
      <w:pPr>
        <w:pStyle w:val="Heading4"/>
        <w:shd w:val="clear" w:color="auto" w:fill="FFFFFF"/>
        <w:spacing w:before="274" w:after="0" w:line="276" w:lineRule="auto"/>
        <w:jc w:val="both"/>
        <w:rPr>
          <w:rFonts w:ascii="Bookman Old Style" w:hAnsi="Bookman Old Style" w:cs="Segoe UI"/>
          <w:color w:val="000000" w:themeColor="text1"/>
        </w:rPr>
      </w:pPr>
      <w:r w:rsidRPr="00912BBF">
        <w:rPr>
          <w:rStyle w:val="Strong"/>
          <w:rFonts w:ascii="Bookman Old Style" w:hAnsi="Bookman Old Style" w:cs="Segoe UI"/>
          <w:color w:val="000000" w:themeColor="text1"/>
        </w:rPr>
        <w:t>B. Charter Litigation: Challenging Discriminatory Conditions</w:t>
      </w:r>
    </w:p>
    <w:p w14:paraId="7126EBD5" w14:textId="77777777" w:rsidR="00EA7F0E" w:rsidRPr="00912BBF" w:rsidRDefault="00EA7F0E" w:rsidP="00915D97">
      <w:pPr>
        <w:pStyle w:val="ds-markdown-paragraph"/>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Where clients face egregious mistreatment in custody, defence counsel should consider </w:t>
      </w:r>
      <w:r w:rsidRPr="00912BBF">
        <w:rPr>
          <w:rStyle w:val="Strong"/>
          <w:rFonts w:ascii="Bookman Old Style" w:eastAsiaTheme="majorEastAsia" w:hAnsi="Bookman Old Style" w:cs="Segoe UI"/>
          <w:b w:val="0"/>
          <w:bCs w:val="0"/>
          <w:color w:val="000000" w:themeColor="text1"/>
        </w:rPr>
        <w:t>Charter-based challenges</w:t>
      </w:r>
      <w:r w:rsidRPr="00912BBF">
        <w:rPr>
          <w:rFonts w:ascii="Bookman Old Style" w:hAnsi="Bookman Old Style" w:cs="Segoe UI"/>
          <w:color w:val="000000" w:themeColor="text1"/>
        </w:rPr>
        <w:t> under:</w:t>
      </w:r>
    </w:p>
    <w:p w14:paraId="7D323A9E" w14:textId="77777777" w:rsidR="00EA7F0E" w:rsidRPr="00912BBF" w:rsidRDefault="00EA7F0E">
      <w:pPr>
        <w:pStyle w:val="ds-markdown-paragraph"/>
        <w:numPr>
          <w:ilvl w:val="0"/>
          <w:numId w:val="35"/>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Style w:val="Strong"/>
          <w:rFonts w:ascii="Bookman Old Style" w:eastAsiaTheme="majorEastAsia" w:hAnsi="Bookman Old Style" w:cs="Segoe UI"/>
          <w:color w:val="000000" w:themeColor="text1"/>
        </w:rPr>
        <w:t>Section 7</w:t>
      </w:r>
      <w:r w:rsidRPr="00912BBF">
        <w:rPr>
          <w:rFonts w:ascii="Bookman Old Style" w:hAnsi="Bookman Old Style" w:cs="Segoe UI"/>
          <w:color w:val="000000" w:themeColor="text1"/>
        </w:rPr>
        <w:t> (life, liberty, and security of the person): Argue that arbitrary segregation, denial of medical care, or retaliatory transfers violate fundamental rights.</w:t>
      </w:r>
    </w:p>
    <w:p w14:paraId="0AFFC380" w14:textId="77777777" w:rsidR="00EA7F0E" w:rsidRPr="00912BBF" w:rsidRDefault="00EA7F0E">
      <w:pPr>
        <w:pStyle w:val="ds-markdown-paragraph"/>
        <w:numPr>
          <w:ilvl w:val="0"/>
          <w:numId w:val="35"/>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Style w:val="Strong"/>
          <w:rFonts w:ascii="Bookman Old Style" w:eastAsiaTheme="majorEastAsia" w:hAnsi="Bookman Old Style" w:cs="Segoe UI"/>
          <w:color w:val="000000" w:themeColor="text1"/>
        </w:rPr>
        <w:t>Section 12</w:t>
      </w:r>
      <w:r w:rsidRPr="00912BBF">
        <w:rPr>
          <w:rFonts w:ascii="Bookman Old Style" w:hAnsi="Bookman Old Style" w:cs="Segoe UI"/>
          <w:color w:val="000000" w:themeColor="text1"/>
        </w:rPr>
        <w:t> (cruel and unusual treatment): Challenge prolonged isolation or excessive force as inherently degrading.</w:t>
      </w:r>
    </w:p>
    <w:p w14:paraId="10FBC1F8" w14:textId="77777777" w:rsidR="00EA7F0E" w:rsidRPr="00912BBF" w:rsidRDefault="00EA7F0E">
      <w:pPr>
        <w:pStyle w:val="ds-markdown-paragraph"/>
        <w:numPr>
          <w:ilvl w:val="0"/>
          <w:numId w:val="35"/>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Style w:val="Strong"/>
          <w:rFonts w:ascii="Bookman Old Style" w:eastAsiaTheme="majorEastAsia" w:hAnsi="Bookman Old Style" w:cs="Segoe UI"/>
          <w:color w:val="000000" w:themeColor="text1"/>
        </w:rPr>
        <w:t>Section 15</w:t>
      </w:r>
      <w:r w:rsidRPr="00912BBF">
        <w:rPr>
          <w:rFonts w:ascii="Bookman Old Style" w:hAnsi="Bookman Old Style" w:cs="Segoe UI"/>
          <w:color w:val="000000" w:themeColor="text1"/>
        </w:rPr>
        <w:t> (equality rights): Cite statistical and anecdotal evidence to demonstrate racially discriminatory outcomes in institutional practices.</w:t>
      </w:r>
    </w:p>
    <w:p w14:paraId="254D10FA" w14:textId="37628222" w:rsidR="00EA7F0E" w:rsidRPr="00912BBF" w:rsidRDefault="00EA7F0E" w:rsidP="00912BBF">
      <w:pPr>
        <w:pStyle w:val="ds-markdown-paragraph"/>
        <w:shd w:val="clear" w:color="auto" w:fill="FFFFFF"/>
        <w:spacing w:before="206" w:beforeAutospacing="0" w:after="206"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lastRenderedPageBreak/>
        <w:t>Precedents such as </w:t>
      </w:r>
      <w:r w:rsidRPr="00912BBF">
        <w:rPr>
          <w:rStyle w:val="Emphasis"/>
          <w:rFonts w:ascii="Bookman Old Style" w:eastAsiaTheme="majorEastAsia" w:hAnsi="Bookman Old Style" w:cs="Segoe UI"/>
          <w:color w:val="000000" w:themeColor="text1"/>
        </w:rPr>
        <w:t>British Columbia Civil Liberties Association v. Canada</w:t>
      </w:r>
      <w:r w:rsidRPr="00912BBF">
        <w:rPr>
          <w:rFonts w:ascii="Bookman Old Style" w:hAnsi="Bookman Old Style" w:cs="Segoe UI"/>
          <w:color w:val="000000" w:themeColor="text1"/>
        </w:rPr>
        <w:t>, 2019 BCSC 62</w:t>
      </w:r>
      <w:r w:rsidR="00485966" w:rsidRPr="00912BBF">
        <w:rPr>
          <w:rStyle w:val="FootnoteReference"/>
          <w:rFonts w:ascii="Bookman Old Style" w:hAnsi="Bookman Old Style" w:cs="Segoe UI"/>
          <w:color w:val="000000" w:themeColor="text1"/>
        </w:rPr>
        <w:footnoteReference w:id="3"/>
      </w:r>
      <w:r w:rsidRPr="00912BBF">
        <w:rPr>
          <w:rFonts w:ascii="Bookman Old Style" w:hAnsi="Bookman Old Style" w:cs="Segoe UI"/>
          <w:color w:val="000000" w:themeColor="text1"/>
        </w:rPr>
        <w:t xml:space="preserve"> (which struck down administrative segregation in part due to its racialized impact) provide a roadmap for such claims.</w:t>
      </w:r>
    </w:p>
    <w:p w14:paraId="1890FE0C" w14:textId="77777777" w:rsidR="00EA7F0E" w:rsidRPr="00912BBF" w:rsidRDefault="00EA7F0E" w:rsidP="00915D97">
      <w:pPr>
        <w:pStyle w:val="Heading4"/>
        <w:shd w:val="clear" w:color="auto" w:fill="FFFFFF"/>
        <w:spacing w:before="274" w:after="0" w:line="276" w:lineRule="auto"/>
        <w:jc w:val="both"/>
        <w:rPr>
          <w:rFonts w:ascii="Bookman Old Style" w:hAnsi="Bookman Old Style" w:cs="Segoe UI"/>
          <w:color w:val="000000" w:themeColor="text1"/>
        </w:rPr>
      </w:pPr>
      <w:r w:rsidRPr="00912BBF">
        <w:rPr>
          <w:rStyle w:val="Strong"/>
          <w:rFonts w:ascii="Bookman Old Style" w:hAnsi="Bookman Old Style" w:cs="Segoe UI"/>
          <w:color w:val="000000" w:themeColor="text1"/>
        </w:rPr>
        <w:t>C. External Complaints and Human Rights Tribunals</w:t>
      </w:r>
    </w:p>
    <w:p w14:paraId="0D6EC0D1" w14:textId="77777777" w:rsidR="00EA7F0E" w:rsidRPr="00912BBF" w:rsidRDefault="00EA7F0E" w:rsidP="00912BBF">
      <w:pPr>
        <w:pStyle w:val="ds-markdown-paragraph"/>
        <w:shd w:val="clear" w:color="auto" w:fill="FFFFFF"/>
        <w:spacing w:before="206" w:beforeAutospacing="0" w:after="206"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When internal grievances fail, counsel should escalate complaints to:</w:t>
      </w:r>
    </w:p>
    <w:p w14:paraId="6CE7DD14" w14:textId="77777777" w:rsidR="00EA7F0E" w:rsidRPr="00912BBF" w:rsidRDefault="00EA7F0E">
      <w:pPr>
        <w:pStyle w:val="ds-markdown-paragraph"/>
        <w:numPr>
          <w:ilvl w:val="0"/>
          <w:numId w:val="36"/>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Style w:val="Strong"/>
          <w:rFonts w:ascii="Bookman Old Style" w:eastAsiaTheme="majorEastAsia" w:hAnsi="Bookman Old Style" w:cs="Segoe UI"/>
          <w:color w:val="000000" w:themeColor="text1"/>
        </w:rPr>
        <w:t>The Canadian Human Rights Commission</w:t>
      </w:r>
      <w:r w:rsidRPr="00912BBF">
        <w:rPr>
          <w:rFonts w:ascii="Bookman Old Style" w:hAnsi="Bookman Old Style" w:cs="Segoe UI"/>
          <w:color w:val="000000" w:themeColor="text1"/>
        </w:rPr>
        <w:t>: File complaints under the </w:t>
      </w:r>
      <w:r w:rsidRPr="00912BBF">
        <w:rPr>
          <w:rStyle w:val="Emphasis"/>
          <w:rFonts w:ascii="Bookman Old Style" w:eastAsiaTheme="majorEastAsia" w:hAnsi="Bookman Old Style" w:cs="Segoe UI"/>
          <w:color w:val="000000" w:themeColor="text1"/>
        </w:rPr>
        <w:t>Canadian Human Rights Act</w:t>
      </w:r>
      <w:r w:rsidRPr="00912BBF">
        <w:rPr>
          <w:rFonts w:ascii="Bookman Old Style" w:hAnsi="Bookman Old Style" w:cs="Segoe UI"/>
          <w:color w:val="000000" w:themeColor="text1"/>
        </w:rPr>
        <w:t> for systemic discrimination.</w:t>
      </w:r>
    </w:p>
    <w:p w14:paraId="1619293A" w14:textId="77777777" w:rsidR="00EA7F0E" w:rsidRPr="00912BBF" w:rsidRDefault="00EA7F0E">
      <w:pPr>
        <w:pStyle w:val="ds-markdown-paragraph"/>
        <w:numPr>
          <w:ilvl w:val="0"/>
          <w:numId w:val="36"/>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Style w:val="Strong"/>
          <w:rFonts w:ascii="Bookman Old Style" w:eastAsiaTheme="majorEastAsia" w:hAnsi="Bookman Old Style" w:cs="Segoe UI"/>
          <w:color w:val="000000" w:themeColor="text1"/>
        </w:rPr>
        <w:t>Provincial Human Rights Tribunals</w:t>
      </w:r>
      <w:r w:rsidRPr="00912BBF">
        <w:rPr>
          <w:rFonts w:ascii="Bookman Old Style" w:hAnsi="Bookman Old Style" w:cs="Segoe UI"/>
          <w:color w:val="000000" w:themeColor="text1"/>
        </w:rPr>
        <w:t>: Argue violations of statutory protections against racial harassment.</w:t>
      </w:r>
    </w:p>
    <w:p w14:paraId="5E4F4B58" w14:textId="00601E41" w:rsidR="00EA7F0E" w:rsidRPr="00912BBF" w:rsidRDefault="00EA7F0E">
      <w:pPr>
        <w:pStyle w:val="ds-markdown-paragraph"/>
        <w:numPr>
          <w:ilvl w:val="0"/>
          <w:numId w:val="36"/>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Style w:val="Strong"/>
          <w:rFonts w:ascii="Bookman Old Style" w:eastAsiaTheme="majorEastAsia" w:hAnsi="Bookman Old Style" w:cs="Segoe UI"/>
          <w:color w:val="000000" w:themeColor="text1"/>
        </w:rPr>
        <w:t>International Bodies</w:t>
      </w:r>
      <w:r w:rsidRPr="00912BBF">
        <w:rPr>
          <w:rFonts w:ascii="Bookman Old Style" w:hAnsi="Bookman Old Style" w:cs="Segoe UI"/>
          <w:color w:val="000000" w:themeColor="text1"/>
        </w:rPr>
        <w:t>: Petition the UN Committee on the Elimination of Racial Discrimination (CERD) where domestic remedies are exhausted.</w:t>
      </w:r>
      <w:r w:rsidR="009E316B" w:rsidRPr="00912BBF">
        <w:rPr>
          <w:rStyle w:val="FootnoteReference"/>
          <w:rFonts w:ascii="Bookman Old Style" w:hAnsi="Bookman Old Style" w:cs="Segoe UI"/>
          <w:color w:val="000000" w:themeColor="text1"/>
        </w:rPr>
        <w:footnoteReference w:id="4"/>
      </w:r>
    </w:p>
    <w:p w14:paraId="230A4E6E" w14:textId="77777777" w:rsidR="00EA7F0E" w:rsidRPr="00912BBF" w:rsidRDefault="00EA7F0E" w:rsidP="00912BBF">
      <w:pPr>
        <w:pStyle w:val="ds-markdown-paragraph"/>
        <w:shd w:val="clear" w:color="auto" w:fill="FFFFFF"/>
        <w:spacing w:before="206" w:beforeAutospacing="0" w:after="206"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These submissions must contextualize individual experiences within broader patterns documented by the OCI, academic studies, and media investigations.</w:t>
      </w:r>
    </w:p>
    <w:p w14:paraId="5D6F952C" w14:textId="77777777" w:rsidR="00EA7F0E" w:rsidRPr="00912BBF" w:rsidRDefault="00EA7F0E" w:rsidP="00915D97">
      <w:pPr>
        <w:pStyle w:val="Heading4"/>
        <w:shd w:val="clear" w:color="auto" w:fill="FFFFFF"/>
        <w:spacing w:before="274" w:after="0" w:line="276" w:lineRule="auto"/>
        <w:jc w:val="both"/>
        <w:rPr>
          <w:rFonts w:ascii="Bookman Old Style" w:hAnsi="Bookman Old Style" w:cs="Segoe UI"/>
          <w:color w:val="000000" w:themeColor="text1"/>
        </w:rPr>
      </w:pPr>
      <w:r w:rsidRPr="00912BBF">
        <w:rPr>
          <w:rStyle w:val="Strong"/>
          <w:rFonts w:ascii="Bookman Old Style" w:hAnsi="Bookman Old Style" w:cs="Segoe UI"/>
          <w:color w:val="000000" w:themeColor="text1"/>
        </w:rPr>
        <w:t>D. Post-Sentencing Monitoring and Advocacy</w:t>
      </w:r>
    </w:p>
    <w:p w14:paraId="1CBA9034" w14:textId="77777777" w:rsidR="00EA7F0E" w:rsidRPr="00912BBF" w:rsidRDefault="00EA7F0E" w:rsidP="00915D97">
      <w:pPr>
        <w:pStyle w:val="ds-markdown-paragraph"/>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Defence counsel should:</w:t>
      </w:r>
    </w:p>
    <w:p w14:paraId="3C3ADEDA" w14:textId="77777777" w:rsidR="00EA7F0E" w:rsidRPr="00912BBF" w:rsidRDefault="00EA7F0E">
      <w:pPr>
        <w:pStyle w:val="ds-markdown-paragraph"/>
        <w:numPr>
          <w:ilvl w:val="0"/>
          <w:numId w:val="37"/>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Maintain contact with incarcerated clients to monitor conditions and intervene in cases of mistreatment.</w:t>
      </w:r>
    </w:p>
    <w:p w14:paraId="3984215F" w14:textId="77777777" w:rsidR="00EA7F0E" w:rsidRPr="00912BBF" w:rsidRDefault="00EA7F0E">
      <w:pPr>
        <w:pStyle w:val="ds-markdown-paragraph"/>
        <w:numPr>
          <w:ilvl w:val="0"/>
          <w:numId w:val="37"/>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Liaise with parole officers to challenge biased risk assessments that delay release.</w:t>
      </w:r>
    </w:p>
    <w:p w14:paraId="1D00FAA0" w14:textId="7DC2E18D" w:rsidR="00EA7F0E" w:rsidRPr="00912BBF" w:rsidRDefault="00EA7F0E">
      <w:pPr>
        <w:pStyle w:val="ds-markdown-paragraph"/>
        <w:numPr>
          <w:ilvl w:val="0"/>
          <w:numId w:val="37"/>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 xml:space="preserve">Collaborate with community organizations to provide </w:t>
      </w:r>
      <w:r w:rsidR="009E316B" w:rsidRPr="00912BBF">
        <w:rPr>
          <w:rFonts w:ascii="Bookman Old Style" w:hAnsi="Bookman Old Style" w:cs="Segoe UI"/>
          <w:color w:val="000000" w:themeColor="text1"/>
        </w:rPr>
        <w:t>re-entry</w:t>
      </w:r>
      <w:r w:rsidRPr="00912BBF">
        <w:rPr>
          <w:rFonts w:ascii="Bookman Old Style" w:hAnsi="Bookman Old Style" w:cs="Segoe UI"/>
          <w:color w:val="000000" w:themeColor="text1"/>
        </w:rPr>
        <w:t xml:space="preserve"> support and mitigate recidivism.</w:t>
      </w:r>
    </w:p>
    <w:p w14:paraId="499BA00B" w14:textId="77777777" w:rsidR="00EA7F0E" w:rsidRPr="00912BBF" w:rsidRDefault="00EA7F0E" w:rsidP="00915D97">
      <w:pPr>
        <w:pStyle w:val="Heading3"/>
        <w:shd w:val="clear" w:color="auto" w:fill="FFFFFF"/>
        <w:spacing w:before="274" w:after="0" w:line="276" w:lineRule="auto"/>
        <w:jc w:val="both"/>
        <w:rPr>
          <w:rFonts w:ascii="Bookman Old Style" w:hAnsi="Bookman Old Style" w:cs="Segoe UI"/>
          <w:color w:val="000000" w:themeColor="text1"/>
          <w:sz w:val="24"/>
          <w:szCs w:val="24"/>
        </w:rPr>
      </w:pPr>
      <w:bookmarkStart w:id="5" w:name="_Toc199153165"/>
      <w:r w:rsidRPr="00912BBF">
        <w:rPr>
          <w:rStyle w:val="Strong"/>
          <w:rFonts w:ascii="Bookman Old Style" w:hAnsi="Bookman Old Style" w:cs="Segoe UI"/>
          <w:color w:val="000000" w:themeColor="text1"/>
          <w:sz w:val="24"/>
          <w:szCs w:val="24"/>
        </w:rPr>
        <w:t>V. Recommendations for Systemic Reform</w:t>
      </w:r>
      <w:bookmarkEnd w:id="5"/>
    </w:p>
    <w:p w14:paraId="7257B09E" w14:textId="77777777" w:rsidR="00EA7F0E" w:rsidRPr="00912BBF" w:rsidRDefault="00EA7F0E" w:rsidP="00915D97">
      <w:pPr>
        <w:pStyle w:val="ds-markdown-paragraph"/>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t>While individual advocacy is essential, lasting change requires structural reforms. Defence lawyers, in partnership with advocacy groups, should demand:</w:t>
      </w:r>
    </w:p>
    <w:p w14:paraId="291F8972" w14:textId="4549D9E1" w:rsidR="00EA7F0E" w:rsidRPr="00912BBF" w:rsidRDefault="00EA7F0E">
      <w:pPr>
        <w:pStyle w:val="ds-markdown-paragraph"/>
        <w:numPr>
          <w:ilvl w:val="0"/>
          <w:numId w:val="38"/>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Style w:val="Strong"/>
          <w:rFonts w:ascii="Bookman Old Style" w:eastAsiaTheme="majorEastAsia" w:hAnsi="Bookman Old Style" w:cs="Segoe UI"/>
          <w:color w:val="000000" w:themeColor="text1"/>
        </w:rPr>
        <w:t>Independent Oversight</w:t>
      </w:r>
      <w:r w:rsidR="009E316B" w:rsidRPr="00912BBF">
        <w:rPr>
          <w:rFonts w:ascii="Bookman Old Style" w:hAnsi="Bookman Old Style" w:cs="Segoe UI"/>
          <w:color w:val="000000" w:themeColor="text1"/>
        </w:rPr>
        <w:t xml:space="preserve"> - </w:t>
      </w:r>
      <w:r w:rsidRPr="00912BBF">
        <w:rPr>
          <w:rFonts w:ascii="Bookman Old Style" w:hAnsi="Bookman Old Style" w:cs="Segoe UI"/>
          <w:color w:val="000000" w:themeColor="text1"/>
        </w:rPr>
        <w:t>Replace internal grievance reviews with civilian-led bodies empowered to impose binding remedies.</w:t>
      </w:r>
    </w:p>
    <w:p w14:paraId="39E8B18E" w14:textId="3066DA66" w:rsidR="00EA7F0E" w:rsidRPr="00912BBF" w:rsidRDefault="00EA7F0E">
      <w:pPr>
        <w:pStyle w:val="ds-markdown-paragraph"/>
        <w:numPr>
          <w:ilvl w:val="0"/>
          <w:numId w:val="38"/>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Style w:val="Strong"/>
          <w:rFonts w:ascii="Bookman Old Style" w:eastAsiaTheme="majorEastAsia" w:hAnsi="Bookman Old Style" w:cs="Segoe UI"/>
          <w:color w:val="000000" w:themeColor="text1"/>
        </w:rPr>
        <w:t>Anti-Racism Training</w:t>
      </w:r>
      <w:r w:rsidR="009E316B" w:rsidRPr="00912BBF">
        <w:rPr>
          <w:rFonts w:ascii="Bookman Old Style" w:hAnsi="Bookman Old Style" w:cs="Segoe UI"/>
          <w:color w:val="000000" w:themeColor="text1"/>
        </w:rPr>
        <w:t xml:space="preserve"> - </w:t>
      </w:r>
      <w:r w:rsidRPr="00912BBF">
        <w:rPr>
          <w:rFonts w:ascii="Bookman Old Style" w:hAnsi="Bookman Old Style" w:cs="Segoe UI"/>
          <w:color w:val="000000" w:themeColor="text1"/>
        </w:rPr>
        <w:t>Mandate evidence-based training for all correctional staff, with input from Black communities.</w:t>
      </w:r>
    </w:p>
    <w:p w14:paraId="2EF077F1" w14:textId="1445FDA9" w:rsidR="00EA7F0E" w:rsidRPr="00912BBF" w:rsidRDefault="00EA7F0E">
      <w:pPr>
        <w:pStyle w:val="ds-markdown-paragraph"/>
        <w:numPr>
          <w:ilvl w:val="0"/>
          <w:numId w:val="38"/>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Style w:val="Strong"/>
          <w:rFonts w:ascii="Bookman Old Style" w:eastAsiaTheme="majorEastAsia" w:hAnsi="Bookman Old Style" w:cs="Segoe UI"/>
          <w:color w:val="000000" w:themeColor="text1"/>
        </w:rPr>
        <w:t>Transparency and Data Collection</w:t>
      </w:r>
      <w:r w:rsidR="009E316B" w:rsidRPr="00912BBF">
        <w:rPr>
          <w:rFonts w:ascii="Bookman Old Style" w:hAnsi="Bookman Old Style" w:cs="Segoe UI"/>
          <w:color w:val="000000" w:themeColor="text1"/>
        </w:rPr>
        <w:t xml:space="preserve"> - </w:t>
      </w:r>
      <w:r w:rsidRPr="00912BBF">
        <w:rPr>
          <w:rFonts w:ascii="Bookman Old Style" w:hAnsi="Bookman Old Style" w:cs="Segoe UI"/>
          <w:color w:val="000000" w:themeColor="text1"/>
        </w:rPr>
        <w:t>Require public reporting on segregation, use of force, and grievances disaggregated by race.</w:t>
      </w:r>
    </w:p>
    <w:p w14:paraId="5A362CD8" w14:textId="698163FC" w:rsidR="00EA7F0E" w:rsidRPr="00912BBF" w:rsidRDefault="00EA7F0E">
      <w:pPr>
        <w:pStyle w:val="ds-markdown-paragraph"/>
        <w:numPr>
          <w:ilvl w:val="0"/>
          <w:numId w:val="38"/>
        </w:numPr>
        <w:shd w:val="clear" w:color="auto" w:fill="FFFFFF"/>
        <w:spacing w:before="0" w:beforeAutospacing="0" w:after="0" w:afterAutospacing="0" w:line="276" w:lineRule="auto"/>
        <w:jc w:val="both"/>
        <w:rPr>
          <w:rFonts w:ascii="Bookman Old Style" w:hAnsi="Bookman Old Style" w:cs="Segoe UI"/>
          <w:color w:val="000000" w:themeColor="text1"/>
        </w:rPr>
      </w:pPr>
      <w:r w:rsidRPr="00912BBF">
        <w:rPr>
          <w:rStyle w:val="Strong"/>
          <w:rFonts w:ascii="Bookman Old Style" w:eastAsiaTheme="majorEastAsia" w:hAnsi="Bookman Old Style" w:cs="Segoe UI"/>
          <w:color w:val="000000" w:themeColor="text1"/>
        </w:rPr>
        <w:t>Legislative Amendments</w:t>
      </w:r>
      <w:r w:rsidR="009E316B" w:rsidRPr="00912BBF">
        <w:rPr>
          <w:rFonts w:ascii="Bookman Old Style" w:hAnsi="Bookman Old Style" w:cs="Segoe UI"/>
          <w:color w:val="000000" w:themeColor="text1"/>
        </w:rPr>
        <w:t xml:space="preserve"> - </w:t>
      </w:r>
      <w:r w:rsidRPr="00912BBF">
        <w:rPr>
          <w:rFonts w:ascii="Bookman Old Style" w:hAnsi="Bookman Old Style" w:cs="Segoe UI"/>
          <w:color w:val="000000" w:themeColor="text1"/>
        </w:rPr>
        <w:t>Amend the CCRA to explicitly prohibit racial discrimination and enforce accountability mechanisms.</w:t>
      </w:r>
    </w:p>
    <w:p w14:paraId="59D7557B" w14:textId="04A21BA9" w:rsidR="00EA7F0E" w:rsidRPr="00912BBF" w:rsidRDefault="00EA7F0E" w:rsidP="00912BBF">
      <w:pPr>
        <w:pStyle w:val="ds-markdown-paragraph"/>
        <w:shd w:val="clear" w:color="auto" w:fill="FFFFFF"/>
        <w:spacing w:before="206" w:beforeAutospacing="0" w:after="0" w:afterAutospacing="0" w:line="276" w:lineRule="auto"/>
        <w:jc w:val="both"/>
        <w:rPr>
          <w:rFonts w:ascii="Bookman Old Style" w:hAnsi="Bookman Old Style" w:cs="Segoe UI"/>
          <w:color w:val="000000" w:themeColor="text1"/>
        </w:rPr>
      </w:pPr>
      <w:r w:rsidRPr="00912BBF">
        <w:rPr>
          <w:rFonts w:ascii="Bookman Old Style" w:hAnsi="Bookman Old Style" w:cs="Segoe UI"/>
          <w:color w:val="000000" w:themeColor="text1"/>
        </w:rPr>
        <w:lastRenderedPageBreak/>
        <w:t>The crisis of anti-Black racism in Canada's prisons is not incidental but a direct consequence of systemic failures that demand urgent, multifaceted responses. Defence counsel must leverage every available legal tool</w:t>
      </w:r>
      <w:r w:rsidR="009E316B" w:rsidRPr="00912BBF">
        <w:rPr>
          <w:rFonts w:ascii="Bookman Old Style" w:hAnsi="Bookman Old Style" w:cs="Segoe UI"/>
          <w:color w:val="000000" w:themeColor="text1"/>
        </w:rPr>
        <w:t xml:space="preserve">, </w:t>
      </w:r>
      <w:r w:rsidRPr="00912BBF">
        <w:rPr>
          <w:rFonts w:ascii="Bookman Old Style" w:hAnsi="Bookman Old Style" w:cs="Segoe UI"/>
          <w:color w:val="000000" w:themeColor="text1"/>
        </w:rPr>
        <w:t>from sentencing submissions to Charter litigation</w:t>
      </w:r>
      <w:r w:rsidR="009E316B" w:rsidRPr="00912BBF">
        <w:rPr>
          <w:rFonts w:ascii="Bookman Old Style" w:hAnsi="Bookman Old Style" w:cs="Segoe UI"/>
          <w:color w:val="000000" w:themeColor="text1"/>
        </w:rPr>
        <w:t xml:space="preserve"> </w:t>
      </w:r>
      <w:r w:rsidRPr="00912BBF">
        <w:rPr>
          <w:rFonts w:ascii="Bookman Old Style" w:hAnsi="Bookman Old Style" w:cs="Segoe UI"/>
          <w:color w:val="000000" w:themeColor="text1"/>
        </w:rPr>
        <w:t xml:space="preserve">to protect their clients and challenge institutional racism. By </w:t>
      </w:r>
      <w:r w:rsidR="009E316B" w:rsidRPr="00912BBF">
        <w:rPr>
          <w:rFonts w:ascii="Bookman Old Style" w:hAnsi="Bookman Old Style" w:cs="Segoe UI"/>
          <w:color w:val="000000" w:themeColor="text1"/>
        </w:rPr>
        <w:t>championing</w:t>
      </w:r>
      <w:r w:rsidRPr="00912BBF">
        <w:rPr>
          <w:rFonts w:ascii="Bookman Old Style" w:hAnsi="Bookman Old Style" w:cs="Segoe UI"/>
          <w:color w:val="000000" w:themeColor="text1"/>
        </w:rPr>
        <w:t xml:space="preserve"> the voices of Black incarcerated individuals and aligning with broader advocacy efforts, lawyers can help transform a system that has too often perpetuated harm rather than justice. The path forward requires not only vigorous individual advocacy but unwavering commitment to dismantling the structures that enable racial injustice to endure.</w:t>
      </w:r>
    </w:p>
    <w:p w14:paraId="778F32FD" w14:textId="6F30C2BB" w:rsidR="0088039D" w:rsidRDefault="0088039D">
      <w:pPr>
        <w:rPr>
          <w:rFonts w:ascii="Bookman Old Style" w:eastAsiaTheme="majorEastAsia" w:hAnsi="Bookman Old Style" w:cstheme="majorBidi"/>
          <w:color w:val="000000" w:themeColor="text1"/>
          <w:spacing w:val="-10"/>
          <w:kern w:val="28"/>
        </w:rPr>
      </w:pPr>
      <w:r>
        <w:rPr>
          <w:rFonts w:ascii="Bookman Old Style" w:eastAsiaTheme="majorEastAsia" w:hAnsi="Bookman Old Style" w:cstheme="majorBidi"/>
          <w:color w:val="000000" w:themeColor="text1"/>
          <w:spacing w:val="-10"/>
          <w:kern w:val="28"/>
        </w:rPr>
        <w:br w:type="page"/>
      </w:r>
    </w:p>
    <w:p w14:paraId="3EEB8EB0" w14:textId="6DCDBB3E" w:rsidR="00FF4FF6" w:rsidRDefault="00FF4FF6" w:rsidP="00FF4FF6">
      <w:pPr>
        <w:pStyle w:val="Heading1"/>
      </w:pPr>
      <w:bookmarkStart w:id="6" w:name="_Toc199153166"/>
      <w:r w:rsidRPr="0088039D">
        <w:lastRenderedPageBreak/>
        <w:t>Addressing Anti-Black Racism Through the Prison Grievance System</w:t>
      </w:r>
      <w:bookmarkEnd w:id="6"/>
    </w:p>
    <w:p w14:paraId="1C2D15A0" w14:textId="77777777" w:rsidR="00FF4FF6" w:rsidRDefault="00FF4FF6" w:rsidP="0088039D">
      <w:pPr>
        <w:spacing w:line="276" w:lineRule="auto"/>
        <w:jc w:val="both"/>
        <w:rPr>
          <w:rFonts w:ascii="Bookman Old Style" w:eastAsiaTheme="majorEastAsia" w:hAnsi="Bookman Old Style" w:cstheme="majorBidi"/>
          <w:color w:val="000000" w:themeColor="text1"/>
          <w:spacing w:val="-10"/>
          <w:kern w:val="28"/>
        </w:rPr>
      </w:pPr>
    </w:p>
    <w:p w14:paraId="2526C32F" w14:textId="74167255"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CONFIDENTIAL LEGAL MEMORANDUM</w:t>
      </w:r>
    </w:p>
    <w:p w14:paraId="5B1A9DA4"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439A6B3B" w14:textId="10607946" w:rsidR="00FF4FF6"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To: </w:t>
      </w:r>
      <w:r w:rsidR="00FF4FF6" w:rsidRPr="00456148">
        <w:rPr>
          <w:rFonts w:ascii="Courier New" w:eastAsiaTheme="majorEastAsia" w:hAnsi="Courier New" w:cs="Courier New"/>
          <w:color w:val="000000" w:themeColor="text1"/>
          <w:spacing w:val="-10"/>
          <w:kern w:val="28"/>
        </w:rPr>
        <w:tab/>
      </w:r>
      <w:r w:rsidR="00FF4FF6" w:rsidRPr="00456148">
        <w:rPr>
          <w:rFonts w:ascii="Courier New" w:eastAsiaTheme="majorEastAsia" w:hAnsi="Courier New" w:cs="Courier New"/>
          <w:color w:val="000000" w:themeColor="text1"/>
          <w:spacing w:val="-10"/>
          <w:kern w:val="28"/>
        </w:rPr>
        <w:tab/>
        <w:t>[Name]</w:t>
      </w:r>
    </w:p>
    <w:p w14:paraId="76FA69EF" w14:textId="77777777" w:rsidR="00FF4FF6"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From: </w:t>
      </w:r>
      <w:r w:rsidR="00FF4FF6" w:rsidRPr="00456148">
        <w:rPr>
          <w:rFonts w:ascii="Courier New" w:eastAsiaTheme="majorEastAsia" w:hAnsi="Courier New" w:cs="Courier New"/>
          <w:color w:val="000000" w:themeColor="text1"/>
          <w:spacing w:val="-10"/>
          <w:kern w:val="28"/>
        </w:rPr>
        <w:tab/>
      </w:r>
      <w:r w:rsidR="00FF4FF6" w:rsidRPr="00456148">
        <w:rPr>
          <w:rFonts w:ascii="Courier New" w:eastAsiaTheme="majorEastAsia" w:hAnsi="Courier New" w:cs="Courier New"/>
          <w:color w:val="000000" w:themeColor="text1"/>
          <w:spacing w:val="-10"/>
          <w:kern w:val="28"/>
        </w:rPr>
        <w:tab/>
      </w:r>
      <w:r w:rsidRPr="00456148">
        <w:rPr>
          <w:rFonts w:ascii="Courier New" w:eastAsiaTheme="majorEastAsia" w:hAnsi="Courier New" w:cs="Courier New"/>
          <w:color w:val="000000" w:themeColor="text1"/>
          <w:spacing w:val="-10"/>
          <w:kern w:val="28"/>
        </w:rPr>
        <w:t>[Your Name</w:t>
      </w:r>
      <w:r w:rsidR="00FF4FF6" w:rsidRPr="00456148">
        <w:rPr>
          <w:rFonts w:ascii="Courier New" w:eastAsiaTheme="majorEastAsia" w:hAnsi="Courier New" w:cs="Courier New"/>
          <w:color w:val="000000" w:themeColor="text1"/>
          <w:spacing w:val="-10"/>
          <w:kern w:val="28"/>
        </w:rPr>
        <w:t>]</w:t>
      </w:r>
    </w:p>
    <w:p w14:paraId="63AFEBAC" w14:textId="77777777" w:rsidR="00FF4FF6"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Date: </w:t>
      </w:r>
      <w:r w:rsidR="00FF4FF6" w:rsidRPr="00456148">
        <w:rPr>
          <w:rFonts w:ascii="Courier New" w:eastAsiaTheme="majorEastAsia" w:hAnsi="Courier New" w:cs="Courier New"/>
          <w:color w:val="000000" w:themeColor="text1"/>
          <w:spacing w:val="-10"/>
          <w:kern w:val="28"/>
        </w:rPr>
        <w:tab/>
      </w:r>
      <w:r w:rsidR="00FF4FF6" w:rsidRPr="00456148">
        <w:rPr>
          <w:rFonts w:ascii="Courier New" w:eastAsiaTheme="majorEastAsia" w:hAnsi="Courier New" w:cs="Courier New"/>
          <w:color w:val="000000" w:themeColor="text1"/>
          <w:spacing w:val="-10"/>
          <w:kern w:val="28"/>
        </w:rPr>
        <w:tab/>
      </w:r>
      <w:r w:rsidRPr="00456148">
        <w:rPr>
          <w:rFonts w:ascii="Courier New" w:eastAsiaTheme="majorEastAsia" w:hAnsi="Courier New" w:cs="Courier New"/>
          <w:color w:val="000000" w:themeColor="text1"/>
          <w:spacing w:val="-10"/>
          <w:kern w:val="28"/>
        </w:rPr>
        <w:t>[Insert Date]</w:t>
      </w:r>
    </w:p>
    <w:p w14:paraId="271E85EE" w14:textId="6EF11A25"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Subject: </w:t>
      </w:r>
      <w:r w:rsidR="00FF4FF6" w:rsidRPr="00456148">
        <w:rPr>
          <w:rFonts w:ascii="Courier New" w:eastAsiaTheme="majorEastAsia" w:hAnsi="Courier New" w:cs="Courier New"/>
          <w:color w:val="000000" w:themeColor="text1"/>
          <w:spacing w:val="-10"/>
          <w:kern w:val="28"/>
        </w:rPr>
        <w:tab/>
      </w:r>
      <w:r w:rsidRPr="00456148">
        <w:rPr>
          <w:rFonts w:ascii="Courier New" w:eastAsiaTheme="majorEastAsia" w:hAnsi="Courier New" w:cs="Courier New"/>
          <w:color w:val="000000" w:themeColor="text1"/>
          <w:spacing w:val="-10"/>
          <w:kern w:val="28"/>
        </w:rPr>
        <w:t>Addressing Anti-Black Racism Through the Prison Grievance System</w:t>
      </w:r>
    </w:p>
    <w:p w14:paraId="5904BDC5"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2F2EFDAA" w14:textId="08A36096"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I. Introduction</w:t>
      </w:r>
    </w:p>
    <w:p w14:paraId="38C62E70" w14:textId="7EBD1C93"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This memorandum outlines a legal strategy for raising and addressing anti-Black racism experienced by incarcerated individuals within Canadian correctional institutions through the internal grievance system. Despite longstanding legal protections under the Canadian Human Rights Act (CHRA), the Charter of Rights and Freedoms, and provincial human rights legislation, the grievance procedures in correctional facilities often fail to adequately address systemic racial discrimination. This memo aims to provide a detailed roadmap for legal practitioners representing incarcerated Black individuals who seek to challenge the institutional racism they face.</w:t>
      </w:r>
    </w:p>
    <w:p w14:paraId="25F043B3"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0D61E8AC"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We explore the procedural framework, jurisprudential gaps, evidentiary strategies, and broader advocacy opportunities available. This document is intended to be used in conjunction with the broader anti-Black racism toolkit developed by the Black Legal Action Centre (BLAC) and supports the work of advancing racial justice at all stages of the incarceration process.</w:t>
      </w:r>
    </w:p>
    <w:p w14:paraId="0027BC45"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16E10556" w14:textId="609C400F"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II. Legal Framework</w:t>
      </w:r>
    </w:p>
    <w:p w14:paraId="13FAE1B2" w14:textId="37FE3B8C"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A. Statutory Protections</w:t>
      </w:r>
    </w:p>
    <w:p w14:paraId="1AB1216A" w14:textId="2F3F4559"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i/>
          <w:iCs/>
          <w:color w:val="000000" w:themeColor="text1"/>
          <w:spacing w:val="-10"/>
          <w:kern w:val="28"/>
        </w:rPr>
        <w:t>Canadian Human Rights Act</w:t>
      </w:r>
      <w:r w:rsidRPr="00456148">
        <w:rPr>
          <w:rFonts w:ascii="Courier New" w:eastAsiaTheme="majorEastAsia" w:hAnsi="Courier New" w:cs="Courier New"/>
          <w:color w:val="000000" w:themeColor="text1"/>
          <w:spacing w:val="-10"/>
          <w:kern w:val="28"/>
        </w:rPr>
        <w:t xml:space="preserve"> (CHRA)</w:t>
      </w:r>
      <w:r w:rsidR="00FF4FF6" w:rsidRPr="00456148">
        <w:rPr>
          <w:rFonts w:ascii="Courier New" w:eastAsiaTheme="majorEastAsia" w:hAnsi="Courier New" w:cs="Courier New"/>
          <w:color w:val="000000" w:themeColor="text1"/>
          <w:spacing w:val="-10"/>
          <w:kern w:val="28"/>
        </w:rPr>
        <w:t xml:space="preserve"> </w:t>
      </w:r>
      <w:r w:rsidRPr="00456148">
        <w:rPr>
          <w:rFonts w:ascii="Courier New" w:eastAsiaTheme="majorEastAsia" w:hAnsi="Courier New" w:cs="Courier New"/>
          <w:color w:val="000000" w:themeColor="text1"/>
          <w:spacing w:val="-10"/>
          <w:kern w:val="28"/>
        </w:rPr>
        <w:t>Sections 3, 7, and 10 of the CHRA prohibit discrimination based on race, colour, national or ethnic origin in the provision of services customarily available to the public, including correctional services.</w:t>
      </w:r>
    </w:p>
    <w:p w14:paraId="185B9862"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0CF195E9"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i/>
          <w:iCs/>
          <w:color w:val="000000" w:themeColor="text1"/>
          <w:spacing w:val="-10"/>
          <w:kern w:val="28"/>
        </w:rPr>
        <w:t>Corrections and Conditional Release Act</w:t>
      </w:r>
      <w:r w:rsidRPr="00456148">
        <w:rPr>
          <w:rFonts w:ascii="Courier New" w:eastAsiaTheme="majorEastAsia" w:hAnsi="Courier New" w:cs="Courier New"/>
          <w:color w:val="000000" w:themeColor="text1"/>
          <w:spacing w:val="-10"/>
          <w:kern w:val="28"/>
        </w:rPr>
        <w:t xml:space="preserve"> (CCRA)Section 4(g) mandates that correctional policies and practices respect "ethnocultural diversity" and recognize the unique needs of minority inmates.</w:t>
      </w:r>
    </w:p>
    <w:p w14:paraId="2B10C8DD"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1A87CEA7" w14:textId="77777777" w:rsidR="00A53E47" w:rsidRPr="00456148" w:rsidRDefault="00A53E47" w:rsidP="0088039D">
      <w:pPr>
        <w:spacing w:line="276" w:lineRule="auto"/>
        <w:jc w:val="both"/>
        <w:rPr>
          <w:rFonts w:ascii="Courier New" w:eastAsiaTheme="majorEastAsia" w:hAnsi="Courier New" w:cs="Courier New"/>
          <w:color w:val="000000" w:themeColor="text1"/>
          <w:spacing w:val="-10"/>
          <w:kern w:val="28"/>
        </w:rPr>
      </w:pPr>
    </w:p>
    <w:p w14:paraId="5EEDE103" w14:textId="77777777" w:rsidR="00A53E47" w:rsidRPr="00456148" w:rsidRDefault="00A53E47" w:rsidP="0088039D">
      <w:pPr>
        <w:spacing w:line="276" w:lineRule="auto"/>
        <w:jc w:val="both"/>
        <w:rPr>
          <w:rFonts w:ascii="Courier New" w:eastAsiaTheme="majorEastAsia" w:hAnsi="Courier New" w:cs="Courier New"/>
          <w:color w:val="000000" w:themeColor="text1"/>
          <w:spacing w:val="-10"/>
          <w:kern w:val="28"/>
        </w:rPr>
      </w:pPr>
    </w:p>
    <w:p w14:paraId="713DC977" w14:textId="77777777" w:rsidR="00A53E47" w:rsidRPr="00456148" w:rsidRDefault="00A53E47" w:rsidP="0088039D">
      <w:pPr>
        <w:spacing w:line="276" w:lineRule="auto"/>
        <w:jc w:val="both"/>
        <w:rPr>
          <w:rFonts w:ascii="Courier New" w:eastAsiaTheme="majorEastAsia" w:hAnsi="Courier New" w:cs="Courier New"/>
          <w:color w:val="000000" w:themeColor="text1"/>
          <w:spacing w:val="-10"/>
          <w:kern w:val="28"/>
        </w:rPr>
      </w:pPr>
    </w:p>
    <w:p w14:paraId="257FC34E" w14:textId="77777777" w:rsidR="00FC33FB" w:rsidRPr="00456148" w:rsidRDefault="00FC33FB" w:rsidP="0088039D">
      <w:pPr>
        <w:spacing w:line="276" w:lineRule="auto"/>
        <w:jc w:val="both"/>
        <w:rPr>
          <w:rFonts w:ascii="Courier New" w:eastAsiaTheme="majorEastAsia" w:hAnsi="Courier New" w:cs="Courier New"/>
          <w:color w:val="000000" w:themeColor="text1"/>
          <w:spacing w:val="-10"/>
          <w:kern w:val="28"/>
        </w:rPr>
      </w:pPr>
    </w:p>
    <w:p w14:paraId="3DF6891F" w14:textId="77777777"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Charter of Rights and Freedoms</w:t>
      </w:r>
    </w:p>
    <w:p w14:paraId="35F74500"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6A1EE990"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Section 15(1</w:t>
      </w:r>
      <w:r w:rsidRPr="00456148">
        <w:rPr>
          <w:rFonts w:ascii="Courier New" w:eastAsiaTheme="majorEastAsia" w:hAnsi="Courier New" w:cs="Courier New"/>
          <w:color w:val="000000" w:themeColor="text1"/>
          <w:spacing w:val="-10"/>
          <w:kern w:val="28"/>
        </w:rPr>
        <w:t>): Guarantees equality before and under the law and equal protection and benefit of the law without discrimination.</w:t>
      </w:r>
    </w:p>
    <w:p w14:paraId="3EF32DFA"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1237A28B"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Section 7</w:t>
      </w:r>
      <w:r w:rsidRPr="00456148">
        <w:rPr>
          <w:rFonts w:ascii="Courier New" w:eastAsiaTheme="majorEastAsia" w:hAnsi="Courier New" w:cs="Courier New"/>
          <w:color w:val="000000" w:themeColor="text1"/>
          <w:spacing w:val="-10"/>
          <w:kern w:val="28"/>
        </w:rPr>
        <w:t>: Protects life, liberty, and security of the person, which may be implicated by systemic and persistent discrimination.</w:t>
      </w:r>
    </w:p>
    <w:p w14:paraId="7B637659"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31C03BF4" w14:textId="6DA22F09"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Provincial Human Rights </w:t>
      </w:r>
      <w:r w:rsidR="00020F92" w:rsidRPr="00456148">
        <w:rPr>
          <w:rFonts w:ascii="Courier New" w:eastAsiaTheme="majorEastAsia" w:hAnsi="Courier New" w:cs="Courier New"/>
          <w:color w:val="000000" w:themeColor="text1"/>
          <w:spacing w:val="-10"/>
          <w:kern w:val="28"/>
        </w:rPr>
        <w:t>Legislation Inmates</w:t>
      </w:r>
      <w:r w:rsidRPr="00456148">
        <w:rPr>
          <w:rFonts w:ascii="Courier New" w:eastAsiaTheme="majorEastAsia" w:hAnsi="Courier New" w:cs="Courier New"/>
          <w:color w:val="000000" w:themeColor="text1"/>
          <w:spacing w:val="-10"/>
          <w:kern w:val="28"/>
        </w:rPr>
        <w:t xml:space="preserve"> in provincial institutions are also protected under respective human rights codes, e.g., </w:t>
      </w:r>
      <w:r w:rsidRPr="00456148">
        <w:rPr>
          <w:rFonts w:ascii="Courier New" w:eastAsiaTheme="majorEastAsia" w:hAnsi="Courier New" w:cs="Courier New"/>
          <w:i/>
          <w:iCs/>
          <w:color w:val="000000" w:themeColor="text1"/>
          <w:spacing w:val="-10"/>
          <w:kern w:val="28"/>
        </w:rPr>
        <w:t>Ontario Human Rights Code</w:t>
      </w:r>
      <w:r w:rsidRPr="00456148">
        <w:rPr>
          <w:rFonts w:ascii="Courier New" w:eastAsiaTheme="majorEastAsia" w:hAnsi="Courier New" w:cs="Courier New"/>
          <w:color w:val="000000" w:themeColor="text1"/>
          <w:spacing w:val="-10"/>
          <w:kern w:val="28"/>
        </w:rPr>
        <w:t xml:space="preserve"> (s.1 and s.5).</w:t>
      </w:r>
    </w:p>
    <w:p w14:paraId="36C8D0CA"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53F42221" w14:textId="37DDD466"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B. International Instruments</w:t>
      </w:r>
    </w:p>
    <w:p w14:paraId="57CE3B7B"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Canada is a signatory to the International Convention on the Elimination of All Forms of Racial Discrimination (ICERD) and the United Nations Standard Minimum Rules for the Treatment of Prisoners (the Mandela Rules), which emphasize equality in correctional treatment.</w:t>
      </w:r>
    </w:p>
    <w:p w14:paraId="1DCCC251"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71A42356" w14:textId="542A1F8D"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III. Grievance System: Structure and Limitations</w:t>
      </w:r>
    </w:p>
    <w:p w14:paraId="5086323B" w14:textId="709472CB"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A. Federal Institutions</w:t>
      </w:r>
    </w:p>
    <w:p w14:paraId="4741E696"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Inmates in federal institutions must follow the Offender Complaints and Grievance System (OCGS) managed by the Correctional Service of Canada (CSC). The process includes:</w:t>
      </w:r>
    </w:p>
    <w:p w14:paraId="4637EA93"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6A2EDA53" w14:textId="77777777" w:rsidR="0088039D" w:rsidRPr="00456148" w:rsidRDefault="0088039D">
      <w:pPr>
        <w:pStyle w:val="ListParagraph"/>
        <w:numPr>
          <w:ilvl w:val="0"/>
          <w:numId w:val="62"/>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Level 1 – Institutional Grievance</w:t>
      </w:r>
      <w:r w:rsidRPr="00456148">
        <w:rPr>
          <w:rFonts w:ascii="Courier New" w:eastAsiaTheme="majorEastAsia" w:hAnsi="Courier New" w:cs="Courier New"/>
          <w:color w:val="000000" w:themeColor="text1"/>
          <w:spacing w:val="-10"/>
          <w:kern w:val="28"/>
        </w:rPr>
        <w:t>: Initial complaint submitted to institutional authorities.</w:t>
      </w:r>
    </w:p>
    <w:p w14:paraId="227A8296"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50F08590" w14:textId="77777777" w:rsidR="0088039D" w:rsidRPr="00456148" w:rsidRDefault="0088039D">
      <w:pPr>
        <w:pStyle w:val="ListParagraph"/>
        <w:numPr>
          <w:ilvl w:val="0"/>
          <w:numId w:val="62"/>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Level 2 – Regional Grievance</w:t>
      </w:r>
      <w:r w:rsidRPr="00456148">
        <w:rPr>
          <w:rFonts w:ascii="Courier New" w:eastAsiaTheme="majorEastAsia" w:hAnsi="Courier New" w:cs="Courier New"/>
          <w:color w:val="000000" w:themeColor="text1"/>
          <w:spacing w:val="-10"/>
          <w:kern w:val="28"/>
        </w:rPr>
        <w:t>: Escalation to CSC regional offices.</w:t>
      </w:r>
    </w:p>
    <w:p w14:paraId="3640D3AF"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7005A967" w14:textId="77777777" w:rsidR="0088039D" w:rsidRPr="00456148" w:rsidRDefault="0088039D">
      <w:pPr>
        <w:pStyle w:val="ListParagraph"/>
        <w:numPr>
          <w:ilvl w:val="0"/>
          <w:numId w:val="62"/>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b/>
          <w:bCs/>
          <w:color w:val="000000" w:themeColor="text1"/>
          <w:spacing w:val="-10"/>
          <w:kern w:val="28"/>
        </w:rPr>
        <w:t>Level 3 – National Grievance</w:t>
      </w:r>
      <w:r w:rsidRPr="00456148">
        <w:rPr>
          <w:rFonts w:ascii="Courier New" w:eastAsiaTheme="majorEastAsia" w:hAnsi="Courier New" w:cs="Courier New"/>
          <w:color w:val="000000" w:themeColor="text1"/>
          <w:spacing w:val="-10"/>
          <w:kern w:val="28"/>
        </w:rPr>
        <w:t>: Review by National Headquarters.</w:t>
      </w:r>
    </w:p>
    <w:p w14:paraId="2440C38A"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639A46FE"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Grievances are subject to strict timelines, and inmates often face delays, non-responsiveness, or retaliation.</w:t>
      </w:r>
    </w:p>
    <w:p w14:paraId="30A27184"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363A5D94" w14:textId="57A8A0E3"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B. Provincial Institutions</w:t>
      </w:r>
    </w:p>
    <w:p w14:paraId="7824D0E7"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Each province administers its own internal grievance procedure. These vary in terms of transparency, access, and accountability. In Ontario, for example, the Ministry of the Solicitor General has a multi-level internal complaint and grievance system.</w:t>
      </w:r>
    </w:p>
    <w:p w14:paraId="376F1B77"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32D6672E" w14:textId="7B30FCCD"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lastRenderedPageBreak/>
        <w:t>C. Systemic Barriers for Black Inmates</w:t>
      </w:r>
    </w:p>
    <w:p w14:paraId="66412B7F"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Numerous studies (e.g., the Office of the Correctional Investigator's 2020 Annual Report) document the failure of grievance systems to respond effectively to racial discrimination, citing issues such as:</w:t>
      </w:r>
    </w:p>
    <w:p w14:paraId="6D2E9488" w14:textId="77777777" w:rsidR="0088039D" w:rsidRPr="00456148" w:rsidRDefault="0088039D" w:rsidP="00A53E47">
      <w:pPr>
        <w:pStyle w:val="NoSpacing"/>
        <w:rPr>
          <w:rFonts w:ascii="Courier New" w:hAnsi="Courier New" w:cs="Courier New"/>
        </w:rPr>
      </w:pPr>
    </w:p>
    <w:p w14:paraId="6EE058B3" w14:textId="795D8B1F" w:rsidR="0088039D" w:rsidRPr="00456148" w:rsidRDefault="0088039D">
      <w:pPr>
        <w:pStyle w:val="NoSpacing"/>
        <w:numPr>
          <w:ilvl w:val="0"/>
          <w:numId w:val="70"/>
        </w:numPr>
        <w:rPr>
          <w:rFonts w:ascii="Courier New" w:hAnsi="Courier New" w:cs="Courier New"/>
        </w:rPr>
      </w:pPr>
      <w:r w:rsidRPr="00456148">
        <w:rPr>
          <w:rFonts w:ascii="Courier New" w:hAnsi="Courier New" w:cs="Courier New"/>
        </w:rPr>
        <w:t xml:space="preserve">Lack of racial literacy among grievance </w:t>
      </w:r>
      <w:r w:rsidR="00726605" w:rsidRPr="00456148">
        <w:rPr>
          <w:rFonts w:ascii="Courier New" w:hAnsi="Courier New" w:cs="Courier New"/>
        </w:rPr>
        <w:t>officers.</w:t>
      </w:r>
    </w:p>
    <w:p w14:paraId="35B22E26" w14:textId="1CF747EA" w:rsidR="0088039D" w:rsidRPr="00456148" w:rsidRDefault="0088039D">
      <w:pPr>
        <w:pStyle w:val="NoSpacing"/>
        <w:numPr>
          <w:ilvl w:val="0"/>
          <w:numId w:val="70"/>
        </w:numPr>
        <w:rPr>
          <w:rFonts w:ascii="Courier New" w:hAnsi="Courier New" w:cs="Courier New"/>
        </w:rPr>
      </w:pPr>
      <w:r w:rsidRPr="00456148">
        <w:rPr>
          <w:rFonts w:ascii="Courier New" w:hAnsi="Courier New" w:cs="Courier New"/>
        </w:rPr>
        <w:t xml:space="preserve">Delays or outright dismissal of </w:t>
      </w:r>
      <w:r w:rsidR="00726605" w:rsidRPr="00456148">
        <w:rPr>
          <w:rFonts w:ascii="Courier New" w:hAnsi="Courier New" w:cs="Courier New"/>
        </w:rPr>
        <w:t>complaints.</w:t>
      </w:r>
    </w:p>
    <w:p w14:paraId="37605420" w14:textId="58A1FF8A" w:rsidR="0088039D" w:rsidRPr="00456148" w:rsidRDefault="0088039D">
      <w:pPr>
        <w:pStyle w:val="NoSpacing"/>
        <w:numPr>
          <w:ilvl w:val="0"/>
          <w:numId w:val="70"/>
        </w:numPr>
        <w:rPr>
          <w:rFonts w:ascii="Courier New" w:hAnsi="Courier New" w:cs="Courier New"/>
        </w:rPr>
      </w:pPr>
      <w:r w:rsidRPr="00456148">
        <w:rPr>
          <w:rFonts w:ascii="Courier New" w:hAnsi="Courier New" w:cs="Courier New"/>
        </w:rPr>
        <w:t xml:space="preserve">Reprisals and </w:t>
      </w:r>
      <w:r w:rsidR="00726605" w:rsidRPr="00456148">
        <w:rPr>
          <w:rFonts w:ascii="Courier New" w:hAnsi="Courier New" w:cs="Courier New"/>
        </w:rPr>
        <w:t>retaliation.</w:t>
      </w:r>
    </w:p>
    <w:p w14:paraId="05881829" w14:textId="77777777" w:rsidR="0088039D" w:rsidRPr="00456148" w:rsidRDefault="0088039D">
      <w:pPr>
        <w:pStyle w:val="NoSpacing"/>
        <w:numPr>
          <w:ilvl w:val="0"/>
          <w:numId w:val="70"/>
        </w:numPr>
        <w:rPr>
          <w:rFonts w:ascii="Courier New" w:hAnsi="Courier New" w:cs="Courier New"/>
        </w:rPr>
      </w:pPr>
      <w:r w:rsidRPr="00456148">
        <w:rPr>
          <w:rFonts w:ascii="Courier New" w:hAnsi="Courier New" w:cs="Courier New"/>
        </w:rPr>
        <w:t>Non-publication of decisions and absence of accountability mechanisms.</w:t>
      </w:r>
    </w:p>
    <w:p w14:paraId="511389C7"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75996990" w14:textId="77777777"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IV. Legal Strategy for Raising Anti-Black Racism via Grievance Procedures</w:t>
      </w:r>
    </w:p>
    <w:p w14:paraId="1973A417"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0C7C3CA9" w14:textId="0E402F8D"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A. Identifying Grounds of Discrimination</w:t>
      </w:r>
    </w:p>
    <w:p w14:paraId="152FCB15"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Practitioners should clearly frame grievances as issues of race-based discrimination, citing specific provisions under the CHRA and Charter. Typical fact patterns may include:</w:t>
      </w:r>
    </w:p>
    <w:p w14:paraId="658E9422"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07A6FCDF" w14:textId="60D8CFE5" w:rsidR="0088039D" w:rsidRPr="00456148" w:rsidRDefault="0088039D">
      <w:pPr>
        <w:pStyle w:val="ListParagraph"/>
        <w:numPr>
          <w:ilvl w:val="0"/>
          <w:numId w:val="63"/>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Disproportionate use of segregation or </w:t>
      </w:r>
      <w:r w:rsidR="00726605" w:rsidRPr="00456148">
        <w:rPr>
          <w:rFonts w:ascii="Courier New" w:eastAsiaTheme="majorEastAsia" w:hAnsi="Courier New" w:cs="Courier New"/>
          <w:color w:val="000000" w:themeColor="text1"/>
          <w:spacing w:val="-10"/>
          <w:kern w:val="28"/>
        </w:rPr>
        <w:t>lockdowns.</w:t>
      </w:r>
    </w:p>
    <w:p w14:paraId="2284C330" w14:textId="0C041804" w:rsidR="0088039D" w:rsidRPr="00456148" w:rsidRDefault="0088039D">
      <w:pPr>
        <w:pStyle w:val="ListParagraph"/>
        <w:numPr>
          <w:ilvl w:val="0"/>
          <w:numId w:val="63"/>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Verbal abuse and racial slurs from </w:t>
      </w:r>
      <w:r w:rsidR="00726605" w:rsidRPr="00456148">
        <w:rPr>
          <w:rFonts w:ascii="Courier New" w:eastAsiaTheme="majorEastAsia" w:hAnsi="Courier New" w:cs="Courier New"/>
          <w:color w:val="000000" w:themeColor="text1"/>
          <w:spacing w:val="-10"/>
          <w:kern w:val="28"/>
        </w:rPr>
        <w:t>staff.</w:t>
      </w:r>
    </w:p>
    <w:p w14:paraId="01110AB3" w14:textId="452AB0E9" w:rsidR="0088039D" w:rsidRPr="00456148" w:rsidRDefault="0088039D">
      <w:pPr>
        <w:pStyle w:val="ListParagraph"/>
        <w:numPr>
          <w:ilvl w:val="0"/>
          <w:numId w:val="63"/>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Discriminatory denial of programming, parole eligibility, or </w:t>
      </w:r>
      <w:r w:rsidR="00726605" w:rsidRPr="00456148">
        <w:rPr>
          <w:rFonts w:ascii="Courier New" w:eastAsiaTheme="majorEastAsia" w:hAnsi="Courier New" w:cs="Courier New"/>
          <w:color w:val="000000" w:themeColor="text1"/>
          <w:spacing w:val="-10"/>
          <w:kern w:val="28"/>
        </w:rPr>
        <w:t>transfer.</w:t>
      </w:r>
    </w:p>
    <w:p w14:paraId="3836A21F" w14:textId="32E96308" w:rsidR="0088039D" w:rsidRPr="00456148" w:rsidRDefault="0088039D">
      <w:pPr>
        <w:pStyle w:val="ListParagraph"/>
        <w:numPr>
          <w:ilvl w:val="0"/>
          <w:numId w:val="63"/>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Targeted disciplinary action and over-</w:t>
      </w:r>
      <w:r w:rsidR="00726605" w:rsidRPr="00456148">
        <w:rPr>
          <w:rFonts w:ascii="Courier New" w:eastAsiaTheme="majorEastAsia" w:hAnsi="Courier New" w:cs="Courier New"/>
          <w:color w:val="000000" w:themeColor="text1"/>
          <w:spacing w:val="-10"/>
          <w:kern w:val="28"/>
        </w:rPr>
        <w:t>surveillance.</w:t>
      </w:r>
    </w:p>
    <w:p w14:paraId="22F65829" w14:textId="77777777" w:rsidR="0088039D" w:rsidRPr="00456148" w:rsidRDefault="0088039D">
      <w:pPr>
        <w:pStyle w:val="ListParagraph"/>
        <w:numPr>
          <w:ilvl w:val="0"/>
          <w:numId w:val="63"/>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Denial of access to culturally appropriate healthcare or food.</w:t>
      </w:r>
    </w:p>
    <w:p w14:paraId="5FA0EFC3"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740E9AA6" w14:textId="41DEEA52"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B. Evidentiary Development</w:t>
      </w:r>
    </w:p>
    <w:p w14:paraId="631524F0" w14:textId="243C8C4B"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Grievances should be supported with:</w:t>
      </w:r>
    </w:p>
    <w:p w14:paraId="026F5C01" w14:textId="2A6FBBE7" w:rsidR="0088039D" w:rsidRPr="00456148" w:rsidRDefault="0088039D">
      <w:pPr>
        <w:pStyle w:val="ListParagraph"/>
        <w:numPr>
          <w:ilvl w:val="0"/>
          <w:numId w:val="64"/>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Logbooks or written timelines of </w:t>
      </w:r>
      <w:r w:rsidR="00726605" w:rsidRPr="00456148">
        <w:rPr>
          <w:rFonts w:ascii="Courier New" w:eastAsiaTheme="majorEastAsia" w:hAnsi="Courier New" w:cs="Courier New"/>
          <w:color w:val="000000" w:themeColor="text1"/>
          <w:spacing w:val="-10"/>
          <w:kern w:val="28"/>
        </w:rPr>
        <w:t>events.</w:t>
      </w:r>
    </w:p>
    <w:p w14:paraId="1DFE3D09" w14:textId="4D18FF6A" w:rsidR="0088039D" w:rsidRPr="00456148" w:rsidRDefault="0088039D">
      <w:pPr>
        <w:pStyle w:val="ListParagraph"/>
        <w:numPr>
          <w:ilvl w:val="0"/>
          <w:numId w:val="64"/>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Witness statements (where possible)</w:t>
      </w:r>
    </w:p>
    <w:p w14:paraId="4CC2BBC2" w14:textId="7680C910" w:rsidR="0088039D" w:rsidRPr="00456148" w:rsidRDefault="0088039D">
      <w:pPr>
        <w:pStyle w:val="ListParagraph"/>
        <w:numPr>
          <w:ilvl w:val="0"/>
          <w:numId w:val="64"/>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Medical or psychological reports indicating </w:t>
      </w:r>
      <w:r w:rsidR="00726605" w:rsidRPr="00456148">
        <w:rPr>
          <w:rFonts w:ascii="Courier New" w:eastAsiaTheme="majorEastAsia" w:hAnsi="Courier New" w:cs="Courier New"/>
          <w:color w:val="000000" w:themeColor="text1"/>
          <w:spacing w:val="-10"/>
          <w:kern w:val="28"/>
        </w:rPr>
        <w:t>harm.</w:t>
      </w:r>
    </w:p>
    <w:p w14:paraId="40BF9F0E" w14:textId="4BB75361" w:rsidR="0088039D" w:rsidRPr="00456148" w:rsidRDefault="0088039D">
      <w:pPr>
        <w:pStyle w:val="ListParagraph"/>
        <w:numPr>
          <w:ilvl w:val="0"/>
          <w:numId w:val="64"/>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Screenshots or copies of written responses or </w:t>
      </w:r>
      <w:r w:rsidR="00726605" w:rsidRPr="00456148">
        <w:rPr>
          <w:rFonts w:ascii="Courier New" w:eastAsiaTheme="majorEastAsia" w:hAnsi="Courier New" w:cs="Courier New"/>
          <w:color w:val="000000" w:themeColor="text1"/>
          <w:spacing w:val="-10"/>
          <w:kern w:val="28"/>
        </w:rPr>
        <w:t>refusals.</w:t>
      </w:r>
    </w:p>
    <w:p w14:paraId="1245AE36" w14:textId="77777777" w:rsidR="0088039D" w:rsidRPr="00456148" w:rsidRDefault="0088039D">
      <w:pPr>
        <w:pStyle w:val="ListParagraph"/>
        <w:numPr>
          <w:ilvl w:val="0"/>
          <w:numId w:val="64"/>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CSC data (e.g., use of force reports, security classifications).</w:t>
      </w:r>
    </w:p>
    <w:p w14:paraId="16390418"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245EC238"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Where a Cultural Impact Assessment (CIA) has been completed for the individual, this document should be annexed to support the grievance.</w:t>
      </w:r>
    </w:p>
    <w:p w14:paraId="624DAC58"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2C70820E" w14:textId="1FD013CC"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C. Framing Grievances in Systemic Terms</w:t>
      </w:r>
    </w:p>
    <w:p w14:paraId="14FDA9C5" w14:textId="048EE41E"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Grievances should not only detail the individual harm but should also highlight systemic patterns:</w:t>
      </w:r>
    </w:p>
    <w:p w14:paraId="18AF7C4E" w14:textId="3E6481FF" w:rsidR="0088039D" w:rsidRPr="00456148" w:rsidRDefault="0088039D">
      <w:pPr>
        <w:pStyle w:val="ListParagraph"/>
        <w:numPr>
          <w:ilvl w:val="0"/>
          <w:numId w:val="65"/>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Reference CSC or provincial data on racial </w:t>
      </w:r>
      <w:r w:rsidR="00726605" w:rsidRPr="00456148">
        <w:rPr>
          <w:rFonts w:ascii="Courier New" w:eastAsiaTheme="majorEastAsia" w:hAnsi="Courier New" w:cs="Courier New"/>
          <w:color w:val="000000" w:themeColor="text1"/>
          <w:spacing w:val="-10"/>
          <w:kern w:val="28"/>
        </w:rPr>
        <w:t>disparities.</w:t>
      </w:r>
    </w:p>
    <w:p w14:paraId="07A0BE22" w14:textId="30DBEA41" w:rsidR="0088039D" w:rsidRPr="00456148" w:rsidRDefault="0088039D">
      <w:pPr>
        <w:pStyle w:val="ListParagraph"/>
        <w:numPr>
          <w:ilvl w:val="0"/>
          <w:numId w:val="65"/>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Cite previous grievances from other inmates (if accessible)</w:t>
      </w:r>
    </w:p>
    <w:p w14:paraId="4EF5E297" w14:textId="77777777" w:rsidR="0013296A" w:rsidRPr="00456148" w:rsidRDefault="0013296A" w:rsidP="0088039D">
      <w:pPr>
        <w:spacing w:line="276" w:lineRule="auto"/>
        <w:jc w:val="both"/>
        <w:rPr>
          <w:rFonts w:ascii="Courier New" w:eastAsiaTheme="majorEastAsia" w:hAnsi="Courier New" w:cs="Courier New"/>
          <w:color w:val="000000" w:themeColor="text1"/>
          <w:spacing w:val="-10"/>
          <w:kern w:val="28"/>
        </w:rPr>
      </w:pPr>
    </w:p>
    <w:p w14:paraId="3CAACFE1" w14:textId="27FA78B8"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lastRenderedPageBreak/>
        <w:t>Invoke findings from the Office of the Correctional Investigator and the Ontario Human Rights Commission (OHRC).</w:t>
      </w:r>
    </w:p>
    <w:p w14:paraId="7FF5C70C"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12E20F2C"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Where possible, request that the grievance be treated as a systemic grievance and advocate for broader institutional policy reviews.</w:t>
      </w:r>
    </w:p>
    <w:p w14:paraId="056CCF8C"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7F938497" w14:textId="66FF7068" w:rsidR="0088039D" w:rsidRPr="00C9507B"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D. Use of Legal Counsel and External Oversight</w:t>
      </w:r>
    </w:p>
    <w:p w14:paraId="59529222"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Counsel should be engaged early to help draft grievances, monitor progress, and intervene as necessary. Consider:</w:t>
      </w:r>
    </w:p>
    <w:p w14:paraId="4FBD172A"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27FAA4FD" w14:textId="1B074A5E" w:rsidR="0088039D" w:rsidRPr="00456148" w:rsidRDefault="0088039D">
      <w:pPr>
        <w:pStyle w:val="ListParagraph"/>
        <w:numPr>
          <w:ilvl w:val="0"/>
          <w:numId w:val="66"/>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Submitting parallel complaints to the provincial or federal Human Rights </w:t>
      </w:r>
      <w:r w:rsidR="00726605" w:rsidRPr="00456148">
        <w:rPr>
          <w:rFonts w:ascii="Courier New" w:eastAsiaTheme="majorEastAsia" w:hAnsi="Courier New" w:cs="Courier New"/>
          <w:color w:val="000000" w:themeColor="text1"/>
          <w:spacing w:val="-10"/>
          <w:kern w:val="28"/>
        </w:rPr>
        <w:t>Commissions.</w:t>
      </w:r>
    </w:p>
    <w:p w14:paraId="4BE4C68A" w14:textId="3FAED82D" w:rsidR="0088039D" w:rsidRPr="00456148" w:rsidRDefault="0088039D">
      <w:pPr>
        <w:pStyle w:val="ListParagraph"/>
        <w:numPr>
          <w:ilvl w:val="0"/>
          <w:numId w:val="66"/>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Filing access to information requests under ATIP or FOI to support </w:t>
      </w:r>
      <w:r w:rsidR="00726605" w:rsidRPr="00456148">
        <w:rPr>
          <w:rFonts w:ascii="Courier New" w:eastAsiaTheme="majorEastAsia" w:hAnsi="Courier New" w:cs="Courier New"/>
          <w:color w:val="000000" w:themeColor="text1"/>
          <w:spacing w:val="-10"/>
          <w:kern w:val="28"/>
        </w:rPr>
        <w:t>grievances.</w:t>
      </w:r>
    </w:p>
    <w:p w14:paraId="22A180B0" w14:textId="77777777" w:rsidR="0088039D" w:rsidRPr="00456148" w:rsidRDefault="0088039D">
      <w:pPr>
        <w:pStyle w:val="ListParagraph"/>
        <w:numPr>
          <w:ilvl w:val="0"/>
          <w:numId w:val="66"/>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Involving ombudspersons, inspectors general, or elected officials.</w:t>
      </w:r>
    </w:p>
    <w:p w14:paraId="28D2B0A3"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675ADE75" w14:textId="633263BE"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V. Litigation and Escalation</w:t>
      </w:r>
    </w:p>
    <w:p w14:paraId="24151BC0"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When the grievance system fails to respond adequately or within reasonable timelines, consider legal escalation:</w:t>
      </w:r>
    </w:p>
    <w:p w14:paraId="58D66825"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4FD849D6" w14:textId="1F295BB3"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A. Judicial Review</w:t>
      </w:r>
    </w:p>
    <w:p w14:paraId="37956B1D"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Where decisions are patently unreasonable, procedurally unfair, or discriminatory, consider initiating judicial review in Federal Court (for federal institutions) or in the provincial Superior Court.</w:t>
      </w:r>
    </w:p>
    <w:p w14:paraId="7A3AFF3D"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0218F7B6" w14:textId="10AF962E"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B. Human Rights Complaints</w:t>
      </w:r>
    </w:p>
    <w:p w14:paraId="467F86C7" w14:textId="6D978866"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A grievance denial or non-response may form the factual basis for a complaint to:</w:t>
      </w:r>
    </w:p>
    <w:p w14:paraId="4A6A8D8A" w14:textId="0C928F7E" w:rsidR="0088039D" w:rsidRPr="00456148" w:rsidRDefault="0088039D">
      <w:pPr>
        <w:pStyle w:val="ListParagraph"/>
        <w:numPr>
          <w:ilvl w:val="0"/>
          <w:numId w:val="67"/>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Canadian Human Rights Commission (CHRC</w:t>
      </w:r>
      <w:proofErr w:type="gramStart"/>
      <w:r w:rsidRPr="00456148">
        <w:rPr>
          <w:rFonts w:ascii="Courier New" w:eastAsiaTheme="majorEastAsia" w:hAnsi="Courier New" w:cs="Courier New"/>
          <w:color w:val="000000" w:themeColor="text1"/>
          <w:spacing w:val="-10"/>
          <w:kern w:val="28"/>
        </w:rPr>
        <w:t>);</w:t>
      </w:r>
      <w:proofErr w:type="gramEnd"/>
    </w:p>
    <w:p w14:paraId="74C4BF52" w14:textId="77777777" w:rsidR="0088039D" w:rsidRPr="00456148" w:rsidRDefault="0088039D">
      <w:pPr>
        <w:pStyle w:val="ListParagraph"/>
        <w:numPr>
          <w:ilvl w:val="0"/>
          <w:numId w:val="67"/>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Provincial Human Rights Tribunal (e.g., HRTO in Ontario).</w:t>
      </w:r>
    </w:p>
    <w:p w14:paraId="3AECA4FA"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4573A401" w14:textId="695890A9"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C. Charter Applications</w:t>
      </w:r>
    </w:p>
    <w:p w14:paraId="006786DF"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If prison conditions amount to cruel and unusual punishment (s.12) or systemic denial of rights (s.15), consider filing a Charter application. This may be done independently or in tandem with parole or other proceedings.</w:t>
      </w:r>
    </w:p>
    <w:p w14:paraId="1EADB796"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0FC80AEA" w14:textId="70883E43" w:rsidR="0088039D" w:rsidRPr="00C9507B"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VI. Remedies and Advocacy Goals</w:t>
      </w:r>
    </w:p>
    <w:p w14:paraId="1B233ECF" w14:textId="52D62294"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Remedies sought may include:</w:t>
      </w:r>
    </w:p>
    <w:p w14:paraId="0EE6AC36" w14:textId="14BEC9EE" w:rsidR="0088039D" w:rsidRPr="00456148" w:rsidRDefault="0088039D">
      <w:pPr>
        <w:pStyle w:val="ListParagraph"/>
        <w:numPr>
          <w:ilvl w:val="0"/>
          <w:numId w:val="68"/>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Immediate cessation of discriminatory </w:t>
      </w:r>
      <w:r w:rsidR="00726605" w:rsidRPr="00456148">
        <w:rPr>
          <w:rFonts w:ascii="Courier New" w:eastAsiaTheme="majorEastAsia" w:hAnsi="Courier New" w:cs="Courier New"/>
          <w:color w:val="000000" w:themeColor="text1"/>
          <w:spacing w:val="-10"/>
          <w:kern w:val="28"/>
        </w:rPr>
        <w:t>practices.</w:t>
      </w:r>
    </w:p>
    <w:p w14:paraId="5AA88319" w14:textId="45C6F717" w:rsidR="0088039D" w:rsidRPr="00456148" w:rsidRDefault="0088039D">
      <w:pPr>
        <w:pStyle w:val="ListParagraph"/>
        <w:numPr>
          <w:ilvl w:val="0"/>
          <w:numId w:val="68"/>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Expungement of disciplinary records resulting from racist </w:t>
      </w:r>
      <w:r w:rsidR="00726605" w:rsidRPr="00456148">
        <w:rPr>
          <w:rFonts w:ascii="Courier New" w:eastAsiaTheme="majorEastAsia" w:hAnsi="Courier New" w:cs="Courier New"/>
          <w:color w:val="000000" w:themeColor="text1"/>
          <w:spacing w:val="-10"/>
          <w:kern w:val="28"/>
        </w:rPr>
        <w:t>conduct.</w:t>
      </w:r>
    </w:p>
    <w:p w14:paraId="3CF52993" w14:textId="53170C9C" w:rsidR="0088039D" w:rsidRPr="00456148" w:rsidRDefault="0088039D">
      <w:pPr>
        <w:pStyle w:val="ListParagraph"/>
        <w:numPr>
          <w:ilvl w:val="0"/>
          <w:numId w:val="68"/>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lastRenderedPageBreak/>
        <w:t xml:space="preserve">Transfer to a less restrictive or culturally appropriate </w:t>
      </w:r>
      <w:r w:rsidR="00726605" w:rsidRPr="00456148">
        <w:rPr>
          <w:rFonts w:ascii="Courier New" w:eastAsiaTheme="majorEastAsia" w:hAnsi="Courier New" w:cs="Courier New"/>
          <w:color w:val="000000" w:themeColor="text1"/>
          <w:spacing w:val="-10"/>
          <w:kern w:val="28"/>
        </w:rPr>
        <w:t>institution.</w:t>
      </w:r>
    </w:p>
    <w:p w14:paraId="1900B225" w14:textId="0DD6E5E2" w:rsidR="0088039D" w:rsidRPr="00456148" w:rsidRDefault="0088039D">
      <w:pPr>
        <w:pStyle w:val="ListParagraph"/>
        <w:numPr>
          <w:ilvl w:val="0"/>
          <w:numId w:val="68"/>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Access to anti-racism programming and culturally relevant </w:t>
      </w:r>
      <w:r w:rsidR="00726605" w:rsidRPr="00456148">
        <w:rPr>
          <w:rFonts w:ascii="Courier New" w:eastAsiaTheme="majorEastAsia" w:hAnsi="Courier New" w:cs="Courier New"/>
          <w:color w:val="000000" w:themeColor="text1"/>
          <w:spacing w:val="-10"/>
          <w:kern w:val="28"/>
        </w:rPr>
        <w:t>services.</w:t>
      </w:r>
    </w:p>
    <w:p w14:paraId="4ABEE937" w14:textId="77777777" w:rsidR="0088039D" w:rsidRPr="00456148" w:rsidRDefault="0088039D">
      <w:pPr>
        <w:pStyle w:val="ListParagraph"/>
        <w:numPr>
          <w:ilvl w:val="0"/>
          <w:numId w:val="68"/>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Public reporting and institutional accountability measures.</w:t>
      </w:r>
    </w:p>
    <w:p w14:paraId="1905D087"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7CC1A0FF" w14:textId="35C9938A"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Long-term advocacy may include:</w:t>
      </w:r>
    </w:p>
    <w:p w14:paraId="5F793643" w14:textId="47721601" w:rsidR="0088039D" w:rsidRPr="00456148" w:rsidRDefault="0088039D">
      <w:pPr>
        <w:pStyle w:val="ListParagraph"/>
        <w:numPr>
          <w:ilvl w:val="0"/>
          <w:numId w:val="69"/>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Calls for independent grievance oversight </w:t>
      </w:r>
      <w:r w:rsidR="00726605" w:rsidRPr="00456148">
        <w:rPr>
          <w:rFonts w:ascii="Courier New" w:eastAsiaTheme="majorEastAsia" w:hAnsi="Courier New" w:cs="Courier New"/>
          <w:color w:val="000000" w:themeColor="text1"/>
          <w:spacing w:val="-10"/>
          <w:kern w:val="28"/>
        </w:rPr>
        <w:t>bodies.</w:t>
      </w:r>
    </w:p>
    <w:p w14:paraId="187EEB45" w14:textId="170F800D" w:rsidR="0088039D" w:rsidRPr="00456148" w:rsidRDefault="0088039D">
      <w:pPr>
        <w:pStyle w:val="ListParagraph"/>
        <w:numPr>
          <w:ilvl w:val="0"/>
          <w:numId w:val="69"/>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 xml:space="preserve">Legislative reform of grievance </w:t>
      </w:r>
      <w:r w:rsidR="00726605" w:rsidRPr="00456148">
        <w:rPr>
          <w:rFonts w:ascii="Courier New" w:eastAsiaTheme="majorEastAsia" w:hAnsi="Courier New" w:cs="Courier New"/>
          <w:color w:val="000000" w:themeColor="text1"/>
          <w:spacing w:val="-10"/>
          <w:kern w:val="28"/>
        </w:rPr>
        <w:t>procedures.</w:t>
      </w:r>
    </w:p>
    <w:p w14:paraId="58146F9C" w14:textId="77777777" w:rsidR="0088039D" w:rsidRPr="00456148" w:rsidRDefault="0088039D">
      <w:pPr>
        <w:pStyle w:val="ListParagraph"/>
        <w:numPr>
          <w:ilvl w:val="0"/>
          <w:numId w:val="69"/>
        </w:num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Creation of systemic anti-racism audits and equity plans for institutions.</w:t>
      </w:r>
    </w:p>
    <w:p w14:paraId="230AA0B2"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0DBE43BE" w14:textId="435F3AAC" w:rsidR="0088039D" w:rsidRPr="00456148" w:rsidRDefault="0088039D" w:rsidP="0088039D">
      <w:pPr>
        <w:spacing w:line="276" w:lineRule="auto"/>
        <w:jc w:val="both"/>
        <w:rPr>
          <w:rFonts w:ascii="Courier New" w:eastAsiaTheme="majorEastAsia" w:hAnsi="Courier New" w:cs="Courier New"/>
          <w:b/>
          <w:bCs/>
          <w:color w:val="000000" w:themeColor="text1"/>
          <w:spacing w:val="-10"/>
          <w:kern w:val="28"/>
        </w:rPr>
      </w:pPr>
      <w:r w:rsidRPr="00456148">
        <w:rPr>
          <w:rFonts w:ascii="Courier New" w:eastAsiaTheme="majorEastAsia" w:hAnsi="Courier New" w:cs="Courier New"/>
          <w:b/>
          <w:bCs/>
          <w:color w:val="000000" w:themeColor="text1"/>
          <w:spacing w:val="-10"/>
          <w:kern w:val="28"/>
        </w:rPr>
        <w:t>VII. Conclusion</w:t>
      </w:r>
    </w:p>
    <w:p w14:paraId="57398B11"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Black incarcerated individuals face disproportionate harm in correctional systems that too often normalize or ignore systemic racism. The internal grievance process, though flawed, can still be used as a strategic tool to document, challenge, and ultimately help dismantle these harms. Legal counsel must approach these grievances not merely as administrative exercises, but as critical interventions in a broader struggle for racial justice.</w:t>
      </w:r>
    </w:p>
    <w:p w14:paraId="5598EA1C" w14:textId="77777777"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p>
    <w:p w14:paraId="0DACD737" w14:textId="17D4D5FF" w:rsidR="0088039D" w:rsidRPr="00456148" w:rsidRDefault="0088039D" w:rsidP="0088039D">
      <w:pPr>
        <w:spacing w:line="276" w:lineRule="auto"/>
        <w:jc w:val="both"/>
        <w:rPr>
          <w:rFonts w:ascii="Courier New" w:eastAsiaTheme="majorEastAsia" w:hAnsi="Courier New" w:cs="Courier New"/>
          <w:color w:val="000000" w:themeColor="text1"/>
          <w:spacing w:val="-10"/>
          <w:kern w:val="28"/>
        </w:rPr>
      </w:pPr>
      <w:r w:rsidRPr="00456148">
        <w:rPr>
          <w:rFonts w:ascii="Courier New" w:eastAsiaTheme="majorEastAsia" w:hAnsi="Courier New" w:cs="Courier New"/>
          <w:color w:val="000000" w:themeColor="text1"/>
          <w:spacing w:val="-10"/>
          <w:kern w:val="28"/>
        </w:rPr>
        <w:t>This memorandum should be used in tandem with the BLAC Anti-Black Racism Toolkit, including the appendices on Cultural Impact Assessments, CHRT templates, and model human rights complaints. Legal advocacy within carceral spaces must be persistent, evidence-based, and rooted in an understanding of the historical and ongoing discrimination Black communities face in the criminal legal system.</w:t>
      </w:r>
    </w:p>
    <w:p w14:paraId="7589CCDA" w14:textId="28CCE1F8" w:rsidR="008F46FF" w:rsidRPr="0094460F" w:rsidRDefault="008F46FF" w:rsidP="0094460F">
      <w:pPr>
        <w:rPr>
          <w:rFonts w:ascii="Bookman Old Style" w:eastAsiaTheme="majorEastAsia" w:hAnsi="Bookman Old Style" w:cstheme="majorBidi"/>
          <w:color w:val="000000" w:themeColor="text1"/>
          <w:spacing w:val="-10"/>
          <w:kern w:val="28"/>
        </w:rPr>
      </w:pPr>
    </w:p>
    <w:sectPr w:rsidR="008F46FF" w:rsidRPr="0094460F">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1062" w14:textId="77777777" w:rsidR="00B569C8" w:rsidRDefault="00B569C8" w:rsidP="003D4FEC">
      <w:r>
        <w:separator/>
      </w:r>
    </w:p>
  </w:endnote>
  <w:endnote w:type="continuationSeparator" w:id="0">
    <w:p w14:paraId="60BD7727" w14:textId="77777777" w:rsidR="00B569C8" w:rsidRDefault="00B569C8" w:rsidP="003D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3614183"/>
      <w:docPartObj>
        <w:docPartGallery w:val="Page Numbers (Bottom of Page)"/>
        <w:docPartUnique/>
      </w:docPartObj>
    </w:sdtPr>
    <w:sdtContent>
      <w:p w14:paraId="7E6B8B65" w14:textId="7D466E29" w:rsidR="00456148" w:rsidRDefault="00456148" w:rsidP="008A1D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D18B8D" w14:textId="77777777" w:rsidR="00456148" w:rsidRDefault="00456148" w:rsidP="004561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901641"/>
      <w:docPartObj>
        <w:docPartGallery w:val="Page Numbers (Bottom of Page)"/>
        <w:docPartUnique/>
      </w:docPartObj>
    </w:sdtPr>
    <w:sdtContent>
      <w:p w14:paraId="7193AD07" w14:textId="7F4CE885" w:rsidR="00456148" w:rsidRDefault="00456148" w:rsidP="008A1D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p>
    </w:sdtContent>
  </w:sdt>
  <w:p w14:paraId="71B6F71B" w14:textId="37C5E91B" w:rsidR="00675B77" w:rsidRDefault="00675B77" w:rsidP="00456148">
    <w:pPr>
      <w:pStyle w:val="Footer"/>
      <w:ind w:right="360"/>
    </w:pPr>
    <w:r>
      <w:t>BLACK LEGAL ACTION CENTRE</w:t>
    </w:r>
    <w:r w:rsidR="00FA04DE">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46A9" w14:textId="77777777" w:rsidR="00B569C8" w:rsidRDefault="00B569C8" w:rsidP="003D4FEC">
      <w:r>
        <w:separator/>
      </w:r>
    </w:p>
  </w:footnote>
  <w:footnote w:type="continuationSeparator" w:id="0">
    <w:p w14:paraId="01078205" w14:textId="77777777" w:rsidR="00B569C8" w:rsidRDefault="00B569C8" w:rsidP="003D4FEC">
      <w:r>
        <w:continuationSeparator/>
      </w:r>
    </w:p>
  </w:footnote>
  <w:footnote w:id="1">
    <w:p w14:paraId="536829A2" w14:textId="21EFDAC9" w:rsidR="00D874DB" w:rsidRDefault="00D874DB" w:rsidP="00881834">
      <w:pPr>
        <w:pStyle w:val="FootnoteText"/>
        <w:jc w:val="both"/>
      </w:pPr>
      <w:r>
        <w:rPr>
          <w:rStyle w:val="FootnoteReference"/>
        </w:rPr>
        <w:footnoteRef/>
      </w:r>
      <w:r>
        <w:t xml:space="preserve"> </w:t>
      </w:r>
      <w:r w:rsidR="00881834" w:rsidRPr="00881834">
        <w:t>Correctional Service of Canada. (n.d.) Special request; Statistics Canada, 2021 population projections based on previous census. Special request.</w:t>
      </w:r>
    </w:p>
  </w:footnote>
  <w:footnote w:id="2">
    <w:p w14:paraId="232083BA" w14:textId="4ADFF9FE" w:rsidR="00881834" w:rsidRDefault="00881834">
      <w:pPr>
        <w:pStyle w:val="FootnoteText"/>
      </w:pPr>
      <w:r>
        <w:rPr>
          <w:rStyle w:val="FootnoteReference"/>
        </w:rPr>
        <w:footnoteRef/>
      </w:r>
      <w:r>
        <w:t xml:space="preserve"> </w:t>
      </w:r>
      <w:r w:rsidRPr="00881834">
        <w:t>Statistics Canada, 2021 population projections based on previous Census, Special request</w:t>
      </w:r>
    </w:p>
  </w:footnote>
  <w:footnote w:id="3">
    <w:p w14:paraId="5927132A" w14:textId="35056C6C" w:rsidR="00485966" w:rsidRDefault="00485966">
      <w:pPr>
        <w:pStyle w:val="FootnoteText"/>
      </w:pPr>
      <w:r>
        <w:rPr>
          <w:rStyle w:val="FootnoteReference"/>
        </w:rPr>
        <w:footnoteRef/>
      </w:r>
      <w:r>
        <w:t xml:space="preserve"> </w:t>
      </w:r>
      <w:r w:rsidRPr="00485966">
        <w:t>The Court found that administrative segregation is a form of solitary confinement that imposes significant risks of serious psychological harm to inmates.</w:t>
      </w:r>
    </w:p>
  </w:footnote>
  <w:footnote w:id="4">
    <w:p w14:paraId="02755F1C" w14:textId="6EB15851" w:rsidR="009E316B" w:rsidRDefault="009E316B" w:rsidP="009E316B">
      <w:pPr>
        <w:pStyle w:val="FootnoteText"/>
        <w:jc w:val="both"/>
      </w:pPr>
      <w:r>
        <w:rPr>
          <w:rStyle w:val="FootnoteReference"/>
        </w:rPr>
        <w:footnoteRef/>
      </w:r>
      <w:r>
        <w:t xml:space="preserve"> </w:t>
      </w:r>
      <w:r w:rsidRPr="009E316B">
        <w:t>CERD is a “treaty body,” meaning it monitors one of the nine core international human rights treaties of the UN. These treaties, also known as “Conventions,” are the central documents of international law. Canada is a “State party” to the Convention, having signed on in 1966 and ratified it in 1970.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368"/>
    <w:multiLevelType w:val="multilevel"/>
    <w:tmpl w:val="06C638BC"/>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13A83"/>
    <w:multiLevelType w:val="multilevel"/>
    <w:tmpl w:val="F8266D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913A5"/>
    <w:multiLevelType w:val="multilevel"/>
    <w:tmpl w:val="B7A8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53816"/>
    <w:multiLevelType w:val="multilevel"/>
    <w:tmpl w:val="062ADE8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C2487"/>
    <w:multiLevelType w:val="hybridMultilevel"/>
    <w:tmpl w:val="EEBE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B45C8"/>
    <w:multiLevelType w:val="multilevel"/>
    <w:tmpl w:val="87A67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E203F"/>
    <w:multiLevelType w:val="hybridMultilevel"/>
    <w:tmpl w:val="9A10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313A4"/>
    <w:multiLevelType w:val="multilevel"/>
    <w:tmpl w:val="4D7CE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DA3FEA"/>
    <w:multiLevelType w:val="multilevel"/>
    <w:tmpl w:val="C04CC088"/>
    <w:lvl w:ilvl="0">
      <w:start w:val="6"/>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B64E1"/>
    <w:multiLevelType w:val="hybridMultilevel"/>
    <w:tmpl w:val="D66225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C66564"/>
    <w:multiLevelType w:val="hybridMultilevel"/>
    <w:tmpl w:val="132E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63D34"/>
    <w:multiLevelType w:val="multilevel"/>
    <w:tmpl w:val="6ACC9E36"/>
    <w:lvl w:ilvl="0">
      <w:start w:val="1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2"/>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FC1CB3"/>
    <w:multiLevelType w:val="multilevel"/>
    <w:tmpl w:val="E85837E2"/>
    <w:lvl w:ilvl="0">
      <w:start w:val="1"/>
      <w:numFmt w:val="lowerRoman"/>
      <w:lvlText w:val="(%1)"/>
      <w:lvlJc w:val="left"/>
      <w:pPr>
        <w:tabs>
          <w:tab w:val="num" w:pos="720"/>
        </w:tabs>
        <w:ind w:left="720" w:hanging="360"/>
      </w:pPr>
      <w:rPr>
        <w:rFonts w:ascii="Bookman Old Style" w:eastAsia="Times New Roman" w:hAnsi="Bookman Old Styl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1968FF"/>
    <w:multiLevelType w:val="multilevel"/>
    <w:tmpl w:val="A54A9864"/>
    <w:lvl w:ilvl="0">
      <w:start w:val="10"/>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17AE1EE6"/>
    <w:multiLevelType w:val="hybridMultilevel"/>
    <w:tmpl w:val="37E2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601B41"/>
    <w:multiLevelType w:val="multilevel"/>
    <w:tmpl w:val="956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282914"/>
    <w:multiLevelType w:val="multilevel"/>
    <w:tmpl w:val="2FEE2E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DE49E8"/>
    <w:multiLevelType w:val="multilevel"/>
    <w:tmpl w:val="FD24E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8A004F"/>
    <w:multiLevelType w:val="multilevel"/>
    <w:tmpl w:val="0DFCBD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A46D18"/>
    <w:multiLevelType w:val="multilevel"/>
    <w:tmpl w:val="1B9A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DC5ABE"/>
    <w:multiLevelType w:val="multilevel"/>
    <w:tmpl w:val="E208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C56BCB"/>
    <w:multiLevelType w:val="multilevel"/>
    <w:tmpl w:val="1C6A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842454"/>
    <w:multiLevelType w:val="hybridMultilevel"/>
    <w:tmpl w:val="D25A69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965679"/>
    <w:multiLevelType w:val="hybridMultilevel"/>
    <w:tmpl w:val="2BBAFA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716A7"/>
    <w:multiLevelType w:val="multilevel"/>
    <w:tmpl w:val="78EA2F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302AA3"/>
    <w:multiLevelType w:val="multilevel"/>
    <w:tmpl w:val="C0F2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C64BE9"/>
    <w:multiLevelType w:val="multilevel"/>
    <w:tmpl w:val="F0AEC370"/>
    <w:lvl w:ilvl="0">
      <w:start w:val="1"/>
      <w:numFmt w:val="lowerRoman"/>
      <w:lvlText w:val="(%1)"/>
      <w:lvlJc w:val="left"/>
      <w:pPr>
        <w:tabs>
          <w:tab w:val="num" w:pos="720"/>
        </w:tabs>
        <w:ind w:left="720" w:hanging="360"/>
      </w:pPr>
      <w:rPr>
        <w:rFonts w:ascii="Bookman Old Style" w:eastAsia="Times New Roman" w:hAnsi="Bookman Old Style"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C16AFD"/>
    <w:multiLevelType w:val="hybridMultilevel"/>
    <w:tmpl w:val="8C74D6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23240D"/>
    <w:multiLevelType w:val="multilevel"/>
    <w:tmpl w:val="BA76E220"/>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092B3D"/>
    <w:multiLevelType w:val="multilevel"/>
    <w:tmpl w:val="03123856"/>
    <w:lvl w:ilvl="0">
      <w:start w:val="12"/>
      <w:numFmt w:val="decimal"/>
      <w:lvlText w:val="%1."/>
      <w:lvlJc w:val="left"/>
      <w:pPr>
        <w:tabs>
          <w:tab w:val="num" w:pos="872"/>
        </w:tabs>
        <w:ind w:left="872" w:hanging="360"/>
      </w:pPr>
    </w:lvl>
    <w:lvl w:ilvl="1" w:tentative="1">
      <w:start w:val="1"/>
      <w:numFmt w:val="decimal"/>
      <w:lvlText w:val="%2."/>
      <w:lvlJc w:val="left"/>
      <w:pPr>
        <w:tabs>
          <w:tab w:val="num" w:pos="1592"/>
        </w:tabs>
        <w:ind w:left="1592" w:hanging="360"/>
      </w:pPr>
    </w:lvl>
    <w:lvl w:ilvl="2" w:tentative="1">
      <w:start w:val="1"/>
      <w:numFmt w:val="decimal"/>
      <w:lvlText w:val="%3."/>
      <w:lvlJc w:val="left"/>
      <w:pPr>
        <w:tabs>
          <w:tab w:val="num" w:pos="2312"/>
        </w:tabs>
        <w:ind w:left="2312" w:hanging="360"/>
      </w:pPr>
    </w:lvl>
    <w:lvl w:ilvl="3" w:tentative="1">
      <w:start w:val="1"/>
      <w:numFmt w:val="decimal"/>
      <w:lvlText w:val="%4."/>
      <w:lvlJc w:val="left"/>
      <w:pPr>
        <w:tabs>
          <w:tab w:val="num" w:pos="3032"/>
        </w:tabs>
        <w:ind w:left="3032" w:hanging="360"/>
      </w:pPr>
    </w:lvl>
    <w:lvl w:ilvl="4" w:tentative="1">
      <w:start w:val="1"/>
      <w:numFmt w:val="decimal"/>
      <w:lvlText w:val="%5."/>
      <w:lvlJc w:val="left"/>
      <w:pPr>
        <w:tabs>
          <w:tab w:val="num" w:pos="3752"/>
        </w:tabs>
        <w:ind w:left="3752" w:hanging="360"/>
      </w:pPr>
    </w:lvl>
    <w:lvl w:ilvl="5" w:tentative="1">
      <w:start w:val="1"/>
      <w:numFmt w:val="decimal"/>
      <w:lvlText w:val="%6."/>
      <w:lvlJc w:val="left"/>
      <w:pPr>
        <w:tabs>
          <w:tab w:val="num" w:pos="4472"/>
        </w:tabs>
        <w:ind w:left="4472" w:hanging="360"/>
      </w:pPr>
    </w:lvl>
    <w:lvl w:ilvl="6" w:tentative="1">
      <w:start w:val="1"/>
      <w:numFmt w:val="decimal"/>
      <w:lvlText w:val="%7."/>
      <w:lvlJc w:val="left"/>
      <w:pPr>
        <w:tabs>
          <w:tab w:val="num" w:pos="5192"/>
        </w:tabs>
        <w:ind w:left="5192" w:hanging="360"/>
      </w:pPr>
    </w:lvl>
    <w:lvl w:ilvl="7" w:tentative="1">
      <w:start w:val="1"/>
      <w:numFmt w:val="decimal"/>
      <w:lvlText w:val="%8."/>
      <w:lvlJc w:val="left"/>
      <w:pPr>
        <w:tabs>
          <w:tab w:val="num" w:pos="5912"/>
        </w:tabs>
        <w:ind w:left="5912" w:hanging="360"/>
      </w:pPr>
    </w:lvl>
    <w:lvl w:ilvl="8" w:tentative="1">
      <w:start w:val="1"/>
      <w:numFmt w:val="decimal"/>
      <w:lvlText w:val="%9."/>
      <w:lvlJc w:val="left"/>
      <w:pPr>
        <w:tabs>
          <w:tab w:val="num" w:pos="6632"/>
        </w:tabs>
        <w:ind w:left="6632" w:hanging="360"/>
      </w:pPr>
    </w:lvl>
  </w:abstractNum>
  <w:abstractNum w:abstractNumId="30" w15:restartNumberingAfterBreak="0">
    <w:nsid w:val="36243377"/>
    <w:multiLevelType w:val="multilevel"/>
    <w:tmpl w:val="126A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8939F5"/>
    <w:multiLevelType w:val="multilevel"/>
    <w:tmpl w:val="3B12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975F75"/>
    <w:multiLevelType w:val="multilevel"/>
    <w:tmpl w:val="BCC6AF26"/>
    <w:lvl w:ilvl="0">
      <w:start w:val="1"/>
      <w:numFmt w:val="lowerRoman"/>
      <w:lvlText w:val="(%1)"/>
      <w:lvlJc w:val="left"/>
      <w:pPr>
        <w:tabs>
          <w:tab w:val="num" w:pos="720"/>
        </w:tabs>
        <w:ind w:left="720" w:hanging="360"/>
      </w:pPr>
      <w:rPr>
        <w:rFonts w:ascii="Bookman Old Style" w:eastAsia="Times New Roman" w:hAnsi="Bookman Old Style"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A14B6B"/>
    <w:multiLevelType w:val="multilevel"/>
    <w:tmpl w:val="F4B084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F31828"/>
    <w:multiLevelType w:val="multilevel"/>
    <w:tmpl w:val="EC46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FE2A2E"/>
    <w:multiLevelType w:val="multilevel"/>
    <w:tmpl w:val="D654D8AE"/>
    <w:lvl w:ilvl="0">
      <w:start w:val="7"/>
      <w:numFmt w:val="decimal"/>
      <w:lvlText w:val="%1."/>
      <w:lvlJc w:val="left"/>
      <w:pPr>
        <w:tabs>
          <w:tab w:val="num" w:pos="720"/>
        </w:tabs>
        <w:ind w:left="720" w:hanging="360"/>
      </w:pPr>
    </w:lvl>
    <w:lvl w:ilvl="1">
      <w:start w:val="1"/>
      <w:numFmt w:val="lowerLetter"/>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8431D5"/>
    <w:multiLevelType w:val="multilevel"/>
    <w:tmpl w:val="FAA63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ED0C3E"/>
    <w:multiLevelType w:val="multilevel"/>
    <w:tmpl w:val="B22484FE"/>
    <w:lvl w:ilvl="0">
      <w:start w:val="1"/>
      <w:numFmt w:val="lowerRoman"/>
      <w:lvlText w:val="(%1)"/>
      <w:lvlJc w:val="left"/>
      <w:pPr>
        <w:tabs>
          <w:tab w:val="num" w:pos="720"/>
        </w:tabs>
        <w:ind w:left="720" w:hanging="360"/>
      </w:pPr>
      <w:rPr>
        <w:rFonts w:ascii="Bookman Old Style" w:eastAsia="Times New Roman" w:hAnsi="Bookman Old Styl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CC10AB"/>
    <w:multiLevelType w:val="multilevel"/>
    <w:tmpl w:val="B8308D3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02084E"/>
    <w:multiLevelType w:val="multilevel"/>
    <w:tmpl w:val="6F4C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172976"/>
    <w:multiLevelType w:val="hybridMultilevel"/>
    <w:tmpl w:val="873A33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3E19FD"/>
    <w:multiLevelType w:val="multilevel"/>
    <w:tmpl w:val="5B4A8B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674B78"/>
    <w:multiLevelType w:val="multilevel"/>
    <w:tmpl w:val="375E9704"/>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B24609"/>
    <w:multiLevelType w:val="multilevel"/>
    <w:tmpl w:val="1FAA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6230B5"/>
    <w:multiLevelType w:val="multilevel"/>
    <w:tmpl w:val="89CA874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241E55"/>
    <w:multiLevelType w:val="hybridMultilevel"/>
    <w:tmpl w:val="E2DA4BD4"/>
    <w:lvl w:ilvl="0" w:tplc="17CA20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9167818"/>
    <w:multiLevelType w:val="hybridMultilevel"/>
    <w:tmpl w:val="E55484C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96A7FB6"/>
    <w:multiLevelType w:val="multilevel"/>
    <w:tmpl w:val="4544BAE4"/>
    <w:lvl w:ilvl="0">
      <w:start w:val="1"/>
      <w:numFmt w:val="lowerRoman"/>
      <w:lvlText w:val="(%1)"/>
      <w:lvlJc w:val="left"/>
      <w:pPr>
        <w:tabs>
          <w:tab w:val="num" w:pos="720"/>
        </w:tabs>
        <w:ind w:left="720" w:hanging="360"/>
      </w:pPr>
      <w:rPr>
        <w:rFonts w:ascii="Bookman Old Style" w:eastAsia="Times New Roman" w:hAnsi="Bookman Old Style"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051B81"/>
    <w:multiLevelType w:val="multilevel"/>
    <w:tmpl w:val="377CFEA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406C3C"/>
    <w:multiLevelType w:val="hybridMultilevel"/>
    <w:tmpl w:val="2F2E632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CDF1F2E"/>
    <w:multiLevelType w:val="multilevel"/>
    <w:tmpl w:val="A058D3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D7C256A"/>
    <w:multiLevelType w:val="hybridMultilevel"/>
    <w:tmpl w:val="0FF4587E"/>
    <w:lvl w:ilvl="0" w:tplc="B55AC12A">
      <w:start w:val="1"/>
      <w:numFmt w:val="lowerLetter"/>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F811E94"/>
    <w:multiLevelType w:val="multilevel"/>
    <w:tmpl w:val="B94A03AE"/>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D5454F"/>
    <w:multiLevelType w:val="multilevel"/>
    <w:tmpl w:val="44C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1F7361"/>
    <w:multiLevelType w:val="multilevel"/>
    <w:tmpl w:val="4840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BF35CD"/>
    <w:multiLevelType w:val="multilevel"/>
    <w:tmpl w:val="84C0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900BDD"/>
    <w:multiLevelType w:val="multilevel"/>
    <w:tmpl w:val="A9A839E6"/>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82274D"/>
    <w:multiLevelType w:val="hybridMultilevel"/>
    <w:tmpl w:val="CAEC5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BB1401C"/>
    <w:multiLevelType w:val="multilevel"/>
    <w:tmpl w:val="83F6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E27C89"/>
    <w:multiLevelType w:val="hybridMultilevel"/>
    <w:tmpl w:val="B64AE3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D8B35C2"/>
    <w:multiLevelType w:val="hybridMultilevel"/>
    <w:tmpl w:val="2F4AB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BA2075"/>
    <w:multiLevelType w:val="hybridMultilevel"/>
    <w:tmpl w:val="DB4A23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FE8593E"/>
    <w:multiLevelType w:val="hybridMultilevel"/>
    <w:tmpl w:val="D05A93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5517CDC"/>
    <w:multiLevelType w:val="hybridMultilevel"/>
    <w:tmpl w:val="6A4A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FD0935"/>
    <w:multiLevelType w:val="hybridMultilevel"/>
    <w:tmpl w:val="B2C8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1061DE"/>
    <w:multiLevelType w:val="multilevel"/>
    <w:tmpl w:val="BCE4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E43614"/>
    <w:multiLevelType w:val="hybridMultilevel"/>
    <w:tmpl w:val="E81E5F3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4DC848A2">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EC065C5"/>
    <w:multiLevelType w:val="multilevel"/>
    <w:tmpl w:val="10500B20"/>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C224FE"/>
    <w:multiLevelType w:val="multilevel"/>
    <w:tmpl w:val="CEBC7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ED6F22"/>
    <w:multiLevelType w:val="hybridMultilevel"/>
    <w:tmpl w:val="8096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027161">
    <w:abstractNumId w:val="30"/>
  </w:num>
  <w:num w:numId="2" w16cid:durableId="1537818395">
    <w:abstractNumId w:val="58"/>
  </w:num>
  <w:num w:numId="3" w16cid:durableId="915168369">
    <w:abstractNumId w:val="32"/>
  </w:num>
  <w:num w:numId="4" w16cid:durableId="138545314">
    <w:abstractNumId w:val="26"/>
  </w:num>
  <w:num w:numId="5" w16cid:durableId="125197624">
    <w:abstractNumId w:val="47"/>
  </w:num>
  <w:num w:numId="6" w16cid:durableId="1298992428">
    <w:abstractNumId w:val="3"/>
  </w:num>
  <w:num w:numId="7" w16cid:durableId="404954337">
    <w:abstractNumId w:val="5"/>
  </w:num>
  <w:num w:numId="8" w16cid:durableId="91631466">
    <w:abstractNumId w:val="8"/>
  </w:num>
  <w:num w:numId="9" w16cid:durableId="239291664">
    <w:abstractNumId w:val="35"/>
  </w:num>
  <w:num w:numId="10" w16cid:durableId="1353801164">
    <w:abstractNumId w:val="13"/>
  </w:num>
  <w:num w:numId="11" w16cid:durableId="1135368188">
    <w:abstractNumId w:val="29"/>
  </w:num>
  <w:num w:numId="12" w16cid:durableId="2012677886">
    <w:abstractNumId w:val="11"/>
  </w:num>
  <w:num w:numId="13" w16cid:durableId="938684360">
    <w:abstractNumId w:val="51"/>
  </w:num>
  <w:num w:numId="14" w16cid:durableId="1295672611">
    <w:abstractNumId w:val="0"/>
  </w:num>
  <w:num w:numId="15" w16cid:durableId="864556306">
    <w:abstractNumId w:val="37"/>
  </w:num>
  <w:num w:numId="16" w16cid:durableId="1514612130">
    <w:abstractNumId w:val="12"/>
  </w:num>
  <w:num w:numId="17" w16cid:durableId="1618829214">
    <w:abstractNumId w:val="7"/>
  </w:num>
  <w:num w:numId="18" w16cid:durableId="1412044855">
    <w:abstractNumId w:val="15"/>
  </w:num>
  <w:num w:numId="19" w16cid:durableId="1844127177">
    <w:abstractNumId w:val="31"/>
  </w:num>
  <w:num w:numId="20" w16cid:durableId="1568875885">
    <w:abstractNumId w:val="39"/>
  </w:num>
  <w:num w:numId="21" w16cid:durableId="512039987">
    <w:abstractNumId w:val="2"/>
  </w:num>
  <w:num w:numId="22" w16cid:durableId="987784746">
    <w:abstractNumId w:val="16"/>
  </w:num>
  <w:num w:numId="23" w16cid:durableId="1694185769">
    <w:abstractNumId w:val="24"/>
  </w:num>
  <w:num w:numId="24" w16cid:durableId="1338458804">
    <w:abstractNumId w:val="1"/>
  </w:num>
  <w:num w:numId="25" w16cid:durableId="98988949">
    <w:abstractNumId w:val="33"/>
  </w:num>
  <w:num w:numId="26" w16cid:durableId="1615209102">
    <w:abstractNumId w:val="50"/>
  </w:num>
  <w:num w:numId="27" w16cid:durableId="1098061998">
    <w:abstractNumId w:val="44"/>
  </w:num>
  <w:num w:numId="28" w16cid:durableId="1105493916">
    <w:abstractNumId w:val="56"/>
  </w:num>
  <w:num w:numId="29" w16cid:durableId="1313176995">
    <w:abstractNumId w:val="68"/>
  </w:num>
  <w:num w:numId="30" w16cid:durableId="1591163738">
    <w:abstractNumId w:val="17"/>
  </w:num>
  <w:num w:numId="31" w16cid:durableId="738554975">
    <w:abstractNumId w:val="23"/>
  </w:num>
  <w:num w:numId="32" w16cid:durableId="2027830676">
    <w:abstractNumId w:val="65"/>
  </w:num>
  <w:num w:numId="33" w16cid:durableId="890919852">
    <w:abstractNumId w:val="19"/>
  </w:num>
  <w:num w:numId="34" w16cid:durableId="1936207860">
    <w:abstractNumId w:val="20"/>
  </w:num>
  <w:num w:numId="35" w16cid:durableId="2128156645">
    <w:abstractNumId w:val="55"/>
  </w:num>
  <w:num w:numId="36" w16cid:durableId="510529530">
    <w:abstractNumId w:val="54"/>
  </w:num>
  <w:num w:numId="37" w16cid:durableId="667442115">
    <w:abstractNumId w:val="25"/>
  </w:num>
  <w:num w:numId="38" w16cid:durableId="17434607">
    <w:abstractNumId w:val="21"/>
  </w:num>
  <w:num w:numId="39" w16cid:durableId="505093985">
    <w:abstractNumId w:val="6"/>
  </w:num>
  <w:num w:numId="40" w16cid:durableId="788403331">
    <w:abstractNumId w:val="36"/>
  </w:num>
  <w:num w:numId="41" w16cid:durableId="1996564991">
    <w:abstractNumId w:val="18"/>
  </w:num>
  <w:num w:numId="42" w16cid:durableId="805006020">
    <w:abstractNumId w:val="41"/>
  </w:num>
  <w:num w:numId="43" w16cid:durableId="322439777">
    <w:abstractNumId w:val="38"/>
  </w:num>
  <w:num w:numId="44" w16cid:durableId="2042850915">
    <w:abstractNumId w:val="42"/>
  </w:num>
  <w:num w:numId="45" w16cid:durableId="55209400">
    <w:abstractNumId w:val="67"/>
  </w:num>
  <w:num w:numId="46" w16cid:durableId="957569015">
    <w:abstractNumId w:val="52"/>
  </w:num>
  <w:num w:numId="47" w16cid:durableId="1010332702">
    <w:abstractNumId w:val="66"/>
  </w:num>
  <w:num w:numId="48" w16cid:durableId="1380084571">
    <w:abstractNumId w:val="48"/>
  </w:num>
  <w:num w:numId="49" w16cid:durableId="1991516811">
    <w:abstractNumId w:val="57"/>
  </w:num>
  <w:num w:numId="50" w16cid:durableId="2084064483">
    <w:abstractNumId w:val="63"/>
  </w:num>
  <w:num w:numId="51" w16cid:durableId="2085445055">
    <w:abstractNumId w:val="34"/>
  </w:num>
  <w:num w:numId="52" w16cid:durableId="2017266827">
    <w:abstractNumId w:val="28"/>
  </w:num>
  <w:num w:numId="53" w16cid:durableId="1963950050">
    <w:abstractNumId w:val="53"/>
  </w:num>
  <w:num w:numId="54" w16cid:durableId="706683708">
    <w:abstractNumId w:val="43"/>
  </w:num>
  <w:num w:numId="55" w16cid:durableId="43607824">
    <w:abstractNumId w:val="22"/>
  </w:num>
  <w:num w:numId="56" w16cid:durableId="1983342711">
    <w:abstractNumId w:val="62"/>
  </w:num>
  <w:num w:numId="57" w16cid:durableId="1119180849">
    <w:abstractNumId w:val="45"/>
  </w:num>
  <w:num w:numId="58" w16cid:durableId="186258314">
    <w:abstractNumId w:val="46"/>
  </w:num>
  <w:num w:numId="59" w16cid:durableId="507528582">
    <w:abstractNumId w:val="59"/>
  </w:num>
  <w:num w:numId="60" w16cid:durableId="810173737">
    <w:abstractNumId w:val="61"/>
  </w:num>
  <w:num w:numId="61" w16cid:durableId="1007946146">
    <w:abstractNumId w:val="40"/>
  </w:num>
  <w:num w:numId="62" w16cid:durableId="684940628">
    <w:abstractNumId w:val="14"/>
  </w:num>
  <w:num w:numId="63" w16cid:durableId="1086876426">
    <w:abstractNumId w:val="27"/>
  </w:num>
  <w:num w:numId="64" w16cid:durableId="914362472">
    <w:abstractNumId w:val="4"/>
  </w:num>
  <w:num w:numId="65" w16cid:durableId="425536898">
    <w:abstractNumId w:val="10"/>
  </w:num>
  <w:num w:numId="66" w16cid:durableId="1482231340">
    <w:abstractNumId w:val="49"/>
  </w:num>
  <w:num w:numId="67" w16cid:durableId="640575785">
    <w:abstractNumId w:val="9"/>
  </w:num>
  <w:num w:numId="68" w16cid:durableId="515123619">
    <w:abstractNumId w:val="69"/>
  </w:num>
  <w:num w:numId="69" w16cid:durableId="57437854">
    <w:abstractNumId w:val="64"/>
  </w:num>
  <w:num w:numId="70" w16cid:durableId="339965668">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0C"/>
    <w:rsid w:val="00020F92"/>
    <w:rsid w:val="00027B87"/>
    <w:rsid w:val="000B68AB"/>
    <w:rsid w:val="000C2277"/>
    <w:rsid w:val="000F6AAF"/>
    <w:rsid w:val="00123F0C"/>
    <w:rsid w:val="0013296A"/>
    <w:rsid w:val="00134B54"/>
    <w:rsid w:val="00151AA2"/>
    <w:rsid w:val="001638C6"/>
    <w:rsid w:val="00193926"/>
    <w:rsid w:val="001A585A"/>
    <w:rsid w:val="001D0969"/>
    <w:rsid w:val="001E48B4"/>
    <w:rsid w:val="00232AFB"/>
    <w:rsid w:val="00235E61"/>
    <w:rsid w:val="00297DDC"/>
    <w:rsid w:val="002B7ECC"/>
    <w:rsid w:val="002C5372"/>
    <w:rsid w:val="002F3978"/>
    <w:rsid w:val="002F545C"/>
    <w:rsid w:val="003041B6"/>
    <w:rsid w:val="00324C4F"/>
    <w:rsid w:val="00332F71"/>
    <w:rsid w:val="0037433A"/>
    <w:rsid w:val="003C66FB"/>
    <w:rsid w:val="003D4FEC"/>
    <w:rsid w:val="003D56C7"/>
    <w:rsid w:val="003E614D"/>
    <w:rsid w:val="004109A2"/>
    <w:rsid w:val="00432A6F"/>
    <w:rsid w:val="0044341A"/>
    <w:rsid w:val="00450A39"/>
    <w:rsid w:val="00456148"/>
    <w:rsid w:val="0046746B"/>
    <w:rsid w:val="00485966"/>
    <w:rsid w:val="004A6499"/>
    <w:rsid w:val="004B0D8E"/>
    <w:rsid w:val="00531E5B"/>
    <w:rsid w:val="005D5C99"/>
    <w:rsid w:val="005D7FC9"/>
    <w:rsid w:val="005E190B"/>
    <w:rsid w:val="006215E1"/>
    <w:rsid w:val="00675B77"/>
    <w:rsid w:val="006B11E7"/>
    <w:rsid w:val="007119F7"/>
    <w:rsid w:val="00724B16"/>
    <w:rsid w:val="0072621D"/>
    <w:rsid w:val="00726605"/>
    <w:rsid w:val="007745CF"/>
    <w:rsid w:val="007761A5"/>
    <w:rsid w:val="007761E4"/>
    <w:rsid w:val="008025E9"/>
    <w:rsid w:val="00812AC6"/>
    <w:rsid w:val="00823E8B"/>
    <w:rsid w:val="0088039D"/>
    <w:rsid w:val="00881834"/>
    <w:rsid w:val="008A0BC7"/>
    <w:rsid w:val="008D0113"/>
    <w:rsid w:val="008D395E"/>
    <w:rsid w:val="008F46FF"/>
    <w:rsid w:val="008F5198"/>
    <w:rsid w:val="00912BBF"/>
    <w:rsid w:val="00915D97"/>
    <w:rsid w:val="00921B49"/>
    <w:rsid w:val="00927A0C"/>
    <w:rsid w:val="0094460F"/>
    <w:rsid w:val="009E316B"/>
    <w:rsid w:val="00A37624"/>
    <w:rsid w:val="00A53E47"/>
    <w:rsid w:val="00A819D3"/>
    <w:rsid w:val="00A9254E"/>
    <w:rsid w:val="00AA1603"/>
    <w:rsid w:val="00AB5147"/>
    <w:rsid w:val="00B27C9E"/>
    <w:rsid w:val="00B463FF"/>
    <w:rsid w:val="00B569C8"/>
    <w:rsid w:val="00BD5502"/>
    <w:rsid w:val="00BF595D"/>
    <w:rsid w:val="00C84AA4"/>
    <w:rsid w:val="00C907FB"/>
    <w:rsid w:val="00C9507B"/>
    <w:rsid w:val="00D2649F"/>
    <w:rsid w:val="00D3469A"/>
    <w:rsid w:val="00D4058F"/>
    <w:rsid w:val="00D5329D"/>
    <w:rsid w:val="00D874DB"/>
    <w:rsid w:val="00D931BC"/>
    <w:rsid w:val="00DA148C"/>
    <w:rsid w:val="00E632F1"/>
    <w:rsid w:val="00EA7F0E"/>
    <w:rsid w:val="00EE4DD6"/>
    <w:rsid w:val="00F1619F"/>
    <w:rsid w:val="00F16A80"/>
    <w:rsid w:val="00F50CF9"/>
    <w:rsid w:val="00F77535"/>
    <w:rsid w:val="00FA04DE"/>
    <w:rsid w:val="00FA65A4"/>
    <w:rsid w:val="00FC33FB"/>
    <w:rsid w:val="00FC7AA6"/>
    <w:rsid w:val="00FF4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50C7"/>
  <w15:chartTrackingRefBased/>
  <w15:docId w15:val="{FEDE0539-4C01-3849-BBB2-DDCB6BBB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7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7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7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A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A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A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A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7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7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7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A0C"/>
    <w:rPr>
      <w:rFonts w:eastAsiaTheme="majorEastAsia" w:cstheme="majorBidi"/>
      <w:color w:val="272727" w:themeColor="text1" w:themeTint="D8"/>
    </w:rPr>
  </w:style>
  <w:style w:type="paragraph" w:styleId="Title">
    <w:name w:val="Title"/>
    <w:basedOn w:val="Normal"/>
    <w:next w:val="Normal"/>
    <w:link w:val="TitleChar"/>
    <w:uiPriority w:val="10"/>
    <w:qFormat/>
    <w:rsid w:val="00927A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A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A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7A0C"/>
    <w:rPr>
      <w:i/>
      <w:iCs/>
      <w:color w:val="404040" w:themeColor="text1" w:themeTint="BF"/>
    </w:rPr>
  </w:style>
  <w:style w:type="paragraph" w:styleId="ListParagraph">
    <w:name w:val="List Paragraph"/>
    <w:basedOn w:val="Normal"/>
    <w:uiPriority w:val="34"/>
    <w:qFormat/>
    <w:rsid w:val="00927A0C"/>
    <w:pPr>
      <w:ind w:left="720"/>
      <w:contextualSpacing/>
    </w:pPr>
  </w:style>
  <w:style w:type="character" w:styleId="IntenseEmphasis">
    <w:name w:val="Intense Emphasis"/>
    <w:basedOn w:val="DefaultParagraphFont"/>
    <w:uiPriority w:val="21"/>
    <w:qFormat/>
    <w:rsid w:val="00927A0C"/>
    <w:rPr>
      <w:i/>
      <w:iCs/>
      <w:color w:val="0F4761" w:themeColor="accent1" w:themeShade="BF"/>
    </w:rPr>
  </w:style>
  <w:style w:type="paragraph" w:styleId="IntenseQuote">
    <w:name w:val="Intense Quote"/>
    <w:basedOn w:val="Normal"/>
    <w:next w:val="Normal"/>
    <w:link w:val="IntenseQuoteChar"/>
    <w:uiPriority w:val="30"/>
    <w:qFormat/>
    <w:rsid w:val="00927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A0C"/>
    <w:rPr>
      <w:i/>
      <w:iCs/>
      <w:color w:val="0F4761" w:themeColor="accent1" w:themeShade="BF"/>
    </w:rPr>
  </w:style>
  <w:style w:type="character" w:styleId="IntenseReference">
    <w:name w:val="Intense Reference"/>
    <w:basedOn w:val="DefaultParagraphFont"/>
    <w:uiPriority w:val="32"/>
    <w:qFormat/>
    <w:rsid w:val="00927A0C"/>
    <w:rPr>
      <w:b/>
      <w:bCs/>
      <w:smallCaps/>
      <w:color w:val="0F4761" w:themeColor="accent1" w:themeShade="BF"/>
      <w:spacing w:val="5"/>
    </w:rPr>
  </w:style>
  <w:style w:type="paragraph" w:styleId="NoSpacing">
    <w:name w:val="No Spacing"/>
    <w:uiPriority w:val="1"/>
    <w:qFormat/>
    <w:rsid w:val="00927A0C"/>
  </w:style>
  <w:style w:type="character" w:styleId="Strong">
    <w:name w:val="Strong"/>
    <w:basedOn w:val="DefaultParagraphFont"/>
    <w:uiPriority w:val="22"/>
    <w:qFormat/>
    <w:rsid w:val="002C5372"/>
    <w:rPr>
      <w:b/>
      <w:bCs/>
    </w:rPr>
  </w:style>
  <w:style w:type="character" w:styleId="Emphasis">
    <w:name w:val="Emphasis"/>
    <w:basedOn w:val="DefaultParagraphFont"/>
    <w:uiPriority w:val="20"/>
    <w:qFormat/>
    <w:rsid w:val="00134B54"/>
    <w:rPr>
      <w:i/>
      <w:iCs/>
    </w:rPr>
  </w:style>
  <w:style w:type="paragraph" w:customStyle="1" w:styleId="ds-markdown-paragraph">
    <w:name w:val="ds-markdown-paragraph"/>
    <w:basedOn w:val="Normal"/>
    <w:rsid w:val="00A37624"/>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3D4FEC"/>
    <w:rPr>
      <w:sz w:val="20"/>
      <w:szCs w:val="20"/>
    </w:rPr>
  </w:style>
  <w:style w:type="character" w:customStyle="1" w:styleId="FootnoteTextChar">
    <w:name w:val="Footnote Text Char"/>
    <w:basedOn w:val="DefaultParagraphFont"/>
    <w:link w:val="FootnoteText"/>
    <w:uiPriority w:val="99"/>
    <w:semiHidden/>
    <w:rsid w:val="003D4FEC"/>
    <w:rPr>
      <w:sz w:val="20"/>
      <w:szCs w:val="20"/>
    </w:rPr>
  </w:style>
  <w:style w:type="character" w:styleId="FootnoteReference">
    <w:name w:val="footnote reference"/>
    <w:basedOn w:val="DefaultParagraphFont"/>
    <w:uiPriority w:val="99"/>
    <w:semiHidden/>
    <w:unhideWhenUsed/>
    <w:rsid w:val="003D4FEC"/>
    <w:rPr>
      <w:vertAlign w:val="superscript"/>
    </w:rPr>
  </w:style>
  <w:style w:type="paragraph" w:styleId="NormalWeb">
    <w:name w:val="Normal (Web)"/>
    <w:basedOn w:val="Normal"/>
    <w:uiPriority w:val="99"/>
    <w:unhideWhenUsed/>
    <w:rsid w:val="00324C4F"/>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675B77"/>
    <w:pPr>
      <w:tabs>
        <w:tab w:val="center" w:pos="4513"/>
        <w:tab w:val="right" w:pos="9026"/>
      </w:tabs>
    </w:pPr>
  </w:style>
  <w:style w:type="character" w:customStyle="1" w:styleId="HeaderChar">
    <w:name w:val="Header Char"/>
    <w:basedOn w:val="DefaultParagraphFont"/>
    <w:link w:val="Header"/>
    <w:uiPriority w:val="99"/>
    <w:rsid w:val="00675B77"/>
  </w:style>
  <w:style w:type="paragraph" w:styleId="Footer">
    <w:name w:val="footer"/>
    <w:basedOn w:val="Normal"/>
    <w:link w:val="FooterChar"/>
    <w:uiPriority w:val="99"/>
    <w:unhideWhenUsed/>
    <w:rsid w:val="00675B77"/>
    <w:pPr>
      <w:tabs>
        <w:tab w:val="center" w:pos="4513"/>
        <w:tab w:val="right" w:pos="9026"/>
      </w:tabs>
    </w:pPr>
  </w:style>
  <w:style w:type="character" w:customStyle="1" w:styleId="FooterChar">
    <w:name w:val="Footer Char"/>
    <w:basedOn w:val="DefaultParagraphFont"/>
    <w:link w:val="Footer"/>
    <w:uiPriority w:val="99"/>
    <w:rsid w:val="00675B77"/>
  </w:style>
  <w:style w:type="paragraph" w:styleId="TOCHeading">
    <w:name w:val="TOC Heading"/>
    <w:basedOn w:val="Heading1"/>
    <w:next w:val="Normal"/>
    <w:uiPriority w:val="39"/>
    <w:unhideWhenUsed/>
    <w:qFormat/>
    <w:rsid w:val="00A53E47"/>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A53E47"/>
    <w:pPr>
      <w:spacing w:before="120"/>
    </w:pPr>
    <w:rPr>
      <w:b/>
      <w:bCs/>
      <w:i/>
      <w:iCs/>
    </w:rPr>
  </w:style>
  <w:style w:type="paragraph" w:styleId="TOC2">
    <w:name w:val="toc 2"/>
    <w:basedOn w:val="Normal"/>
    <w:next w:val="Normal"/>
    <w:autoRedefine/>
    <w:uiPriority w:val="39"/>
    <w:unhideWhenUsed/>
    <w:rsid w:val="00A53E47"/>
    <w:pPr>
      <w:spacing w:before="120"/>
      <w:ind w:left="240"/>
    </w:pPr>
    <w:rPr>
      <w:b/>
      <w:bCs/>
      <w:sz w:val="22"/>
      <w:szCs w:val="22"/>
    </w:rPr>
  </w:style>
  <w:style w:type="paragraph" w:styleId="TOC3">
    <w:name w:val="toc 3"/>
    <w:basedOn w:val="Normal"/>
    <w:next w:val="Normal"/>
    <w:autoRedefine/>
    <w:uiPriority w:val="39"/>
    <w:unhideWhenUsed/>
    <w:rsid w:val="00A53E47"/>
    <w:pPr>
      <w:ind w:left="480"/>
    </w:pPr>
    <w:rPr>
      <w:sz w:val="20"/>
      <w:szCs w:val="20"/>
    </w:rPr>
  </w:style>
  <w:style w:type="character" w:styleId="Hyperlink">
    <w:name w:val="Hyperlink"/>
    <w:basedOn w:val="DefaultParagraphFont"/>
    <w:uiPriority w:val="99"/>
    <w:unhideWhenUsed/>
    <w:rsid w:val="00A53E47"/>
    <w:rPr>
      <w:color w:val="467886" w:themeColor="hyperlink"/>
      <w:u w:val="single"/>
    </w:rPr>
  </w:style>
  <w:style w:type="paragraph" w:styleId="TOC4">
    <w:name w:val="toc 4"/>
    <w:basedOn w:val="Normal"/>
    <w:next w:val="Normal"/>
    <w:autoRedefine/>
    <w:uiPriority w:val="39"/>
    <w:semiHidden/>
    <w:unhideWhenUsed/>
    <w:rsid w:val="00A53E47"/>
    <w:pPr>
      <w:ind w:left="720"/>
    </w:pPr>
    <w:rPr>
      <w:sz w:val="20"/>
      <w:szCs w:val="20"/>
    </w:rPr>
  </w:style>
  <w:style w:type="paragraph" w:styleId="TOC5">
    <w:name w:val="toc 5"/>
    <w:basedOn w:val="Normal"/>
    <w:next w:val="Normal"/>
    <w:autoRedefine/>
    <w:uiPriority w:val="39"/>
    <w:semiHidden/>
    <w:unhideWhenUsed/>
    <w:rsid w:val="00A53E47"/>
    <w:pPr>
      <w:ind w:left="960"/>
    </w:pPr>
    <w:rPr>
      <w:sz w:val="20"/>
      <w:szCs w:val="20"/>
    </w:rPr>
  </w:style>
  <w:style w:type="paragraph" w:styleId="TOC6">
    <w:name w:val="toc 6"/>
    <w:basedOn w:val="Normal"/>
    <w:next w:val="Normal"/>
    <w:autoRedefine/>
    <w:uiPriority w:val="39"/>
    <w:semiHidden/>
    <w:unhideWhenUsed/>
    <w:rsid w:val="00A53E47"/>
    <w:pPr>
      <w:ind w:left="1200"/>
    </w:pPr>
    <w:rPr>
      <w:sz w:val="20"/>
      <w:szCs w:val="20"/>
    </w:rPr>
  </w:style>
  <w:style w:type="paragraph" w:styleId="TOC7">
    <w:name w:val="toc 7"/>
    <w:basedOn w:val="Normal"/>
    <w:next w:val="Normal"/>
    <w:autoRedefine/>
    <w:uiPriority w:val="39"/>
    <w:semiHidden/>
    <w:unhideWhenUsed/>
    <w:rsid w:val="00A53E47"/>
    <w:pPr>
      <w:ind w:left="1440"/>
    </w:pPr>
    <w:rPr>
      <w:sz w:val="20"/>
      <w:szCs w:val="20"/>
    </w:rPr>
  </w:style>
  <w:style w:type="paragraph" w:styleId="TOC8">
    <w:name w:val="toc 8"/>
    <w:basedOn w:val="Normal"/>
    <w:next w:val="Normal"/>
    <w:autoRedefine/>
    <w:uiPriority w:val="39"/>
    <w:semiHidden/>
    <w:unhideWhenUsed/>
    <w:rsid w:val="00A53E47"/>
    <w:pPr>
      <w:ind w:left="1680"/>
    </w:pPr>
    <w:rPr>
      <w:sz w:val="20"/>
      <w:szCs w:val="20"/>
    </w:rPr>
  </w:style>
  <w:style w:type="paragraph" w:styleId="TOC9">
    <w:name w:val="toc 9"/>
    <w:basedOn w:val="Normal"/>
    <w:next w:val="Normal"/>
    <w:autoRedefine/>
    <w:uiPriority w:val="39"/>
    <w:semiHidden/>
    <w:unhideWhenUsed/>
    <w:rsid w:val="00A53E47"/>
    <w:pPr>
      <w:ind w:left="1920"/>
    </w:pPr>
    <w:rPr>
      <w:sz w:val="20"/>
      <w:szCs w:val="20"/>
    </w:rPr>
  </w:style>
  <w:style w:type="character" w:styleId="PageNumber">
    <w:name w:val="page number"/>
    <w:basedOn w:val="DefaultParagraphFont"/>
    <w:uiPriority w:val="99"/>
    <w:semiHidden/>
    <w:unhideWhenUsed/>
    <w:rsid w:val="0045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5164">
      <w:bodyDiv w:val="1"/>
      <w:marLeft w:val="0"/>
      <w:marRight w:val="0"/>
      <w:marTop w:val="0"/>
      <w:marBottom w:val="0"/>
      <w:divBdr>
        <w:top w:val="none" w:sz="0" w:space="0" w:color="auto"/>
        <w:left w:val="none" w:sz="0" w:space="0" w:color="auto"/>
        <w:bottom w:val="none" w:sz="0" w:space="0" w:color="auto"/>
        <w:right w:val="none" w:sz="0" w:space="0" w:color="auto"/>
      </w:divBdr>
    </w:div>
    <w:div w:id="64306279">
      <w:bodyDiv w:val="1"/>
      <w:marLeft w:val="0"/>
      <w:marRight w:val="0"/>
      <w:marTop w:val="0"/>
      <w:marBottom w:val="0"/>
      <w:divBdr>
        <w:top w:val="none" w:sz="0" w:space="0" w:color="auto"/>
        <w:left w:val="none" w:sz="0" w:space="0" w:color="auto"/>
        <w:bottom w:val="none" w:sz="0" w:space="0" w:color="auto"/>
        <w:right w:val="none" w:sz="0" w:space="0" w:color="auto"/>
      </w:divBdr>
    </w:div>
    <w:div w:id="136072962">
      <w:bodyDiv w:val="1"/>
      <w:marLeft w:val="0"/>
      <w:marRight w:val="0"/>
      <w:marTop w:val="0"/>
      <w:marBottom w:val="0"/>
      <w:divBdr>
        <w:top w:val="none" w:sz="0" w:space="0" w:color="auto"/>
        <w:left w:val="none" w:sz="0" w:space="0" w:color="auto"/>
        <w:bottom w:val="none" w:sz="0" w:space="0" w:color="auto"/>
        <w:right w:val="none" w:sz="0" w:space="0" w:color="auto"/>
      </w:divBdr>
    </w:div>
    <w:div w:id="229385062">
      <w:bodyDiv w:val="1"/>
      <w:marLeft w:val="0"/>
      <w:marRight w:val="0"/>
      <w:marTop w:val="0"/>
      <w:marBottom w:val="0"/>
      <w:divBdr>
        <w:top w:val="none" w:sz="0" w:space="0" w:color="auto"/>
        <w:left w:val="none" w:sz="0" w:space="0" w:color="auto"/>
        <w:bottom w:val="none" w:sz="0" w:space="0" w:color="auto"/>
        <w:right w:val="none" w:sz="0" w:space="0" w:color="auto"/>
      </w:divBdr>
    </w:div>
    <w:div w:id="258177991">
      <w:bodyDiv w:val="1"/>
      <w:marLeft w:val="0"/>
      <w:marRight w:val="0"/>
      <w:marTop w:val="0"/>
      <w:marBottom w:val="0"/>
      <w:divBdr>
        <w:top w:val="none" w:sz="0" w:space="0" w:color="auto"/>
        <w:left w:val="none" w:sz="0" w:space="0" w:color="auto"/>
        <w:bottom w:val="none" w:sz="0" w:space="0" w:color="auto"/>
        <w:right w:val="none" w:sz="0" w:space="0" w:color="auto"/>
      </w:divBdr>
    </w:div>
    <w:div w:id="357050178">
      <w:bodyDiv w:val="1"/>
      <w:marLeft w:val="0"/>
      <w:marRight w:val="0"/>
      <w:marTop w:val="0"/>
      <w:marBottom w:val="0"/>
      <w:divBdr>
        <w:top w:val="none" w:sz="0" w:space="0" w:color="auto"/>
        <w:left w:val="none" w:sz="0" w:space="0" w:color="auto"/>
        <w:bottom w:val="none" w:sz="0" w:space="0" w:color="auto"/>
        <w:right w:val="none" w:sz="0" w:space="0" w:color="auto"/>
      </w:divBdr>
    </w:div>
    <w:div w:id="387461196">
      <w:bodyDiv w:val="1"/>
      <w:marLeft w:val="0"/>
      <w:marRight w:val="0"/>
      <w:marTop w:val="0"/>
      <w:marBottom w:val="0"/>
      <w:divBdr>
        <w:top w:val="none" w:sz="0" w:space="0" w:color="auto"/>
        <w:left w:val="none" w:sz="0" w:space="0" w:color="auto"/>
        <w:bottom w:val="none" w:sz="0" w:space="0" w:color="auto"/>
        <w:right w:val="none" w:sz="0" w:space="0" w:color="auto"/>
      </w:divBdr>
    </w:div>
    <w:div w:id="465777337">
      <w:bodyDiv w:val="1"/>
      <w:marLeft w:val="0"/>
      <w:marRight w:val="0"/>
      <w:marTop w:val="0"/>
      <w:marBottom w:val="0"/>
      <w:divBdr>
        <w:top w:val="none" w:sz="0" w:space="0" w:color="auto"/>
        <w:left w:val="none" w:sz="0" w:space="0" w:color="auto"/>
        <w:bottom w:val="none" w:sz="0" w:space="0" w:color="auto"/>
        <w:right w:val="none" w:sz="0" w:space="0" w:color="auto"/>
      </w:divBdr>
    </w:div>
    <w:div w:id="468940473">
      <w:bodyDiv w:val="1"/>
      <w:marLeft w:val="0"/>
      <w:marRight w:val="0"/>
      <w:marTop w:val="0"/>
      <w:marBottom w:val="0"/>
      <w:divBdr>
        <w:top w:val="none" w:sz="0" w:space="0" w:color="auto"/>
        <w:left w:val="none" w:sz="0" w:space="0" w:color="auto"/>
        <w:bottom w:val="none" w:sz="0" w:space="0" w:color="auto"/>
        <w:right w:val="none" w:sz="0" w:space="0" w:color="auto"/>
      </w:divBdr>
    </w:div>
    <w:div w:id="558784692">
      <w:bodyDiv w:val="1"/>
      <w:marLeft w:val="0"/>
      <w:marRight w:val="0"/>
      <w:marTop w:val="0"/>
      <w:marBottom w:val="0"/>
      <w:divBdr>
        <w:top w:val="none" w:sz="0" w:space="0" w:color="auto"/>
        <w:left w:val="none" w:sz="0" w:space="0" w:color="auto"/>
        <w:bottom w:val="none" w:sz="0" w:space="0" w:color="auto"/>
        <w:right w:val="none" w:sz="0" w:space="0" w:color="auto"/>
      </w:divBdr>
    </w:div>
    <w:div w:id="569657916">
      <w:bodyDiv w:val="1"/>
      <w:marLeft w:val="0"/>
      <w:marRight w:val="0"/>
      <w:marTop w:val="0"/>
      <w:marBottom w:val="0"/>
      <w:divBdr>
        <w:top w:val="none" w:sz="0" w:space="0" w:color="auto"/>
        <w:left w:val="none" w:sz="0" w:space="0" w:color="auto"/>
        <w:bottom w:val="none" w:sz="0" w:space="0" w:color="auto"/>
        <w:right w:val="none" w:sz="0" w:space="0" w:color="auto"/>
      </w:divBdr>
    </w:div>
    <w:div w:id="590704606">
      <w:bodyDiv w:val="1"/>
      <w:marLeft w:val="0"/>
      <w:marRight w:val="0"/>
      <w:marTop w:val="0"/>
      <w:marBottom w:val="0"/>
      <w:divBdr>
        <w:top w:val="none" w:sz="0" w:space="0" w:color="auto"/>
        <w:left w:val="none" w:sz="0" w:space="0" w:color="auto"/>
        <w:bottom w:val="none" w:sz="0" w:space="0" w:color="auto"/>
        <w:right w:val="none" w:sz="0" w:space="0" w:color="auto"/>
      </w:divBdr>
      <w:divsChild>
        <w:div w:id="223688282">
          <w:marLeft w:val="480"/>
          <w:marRight w:val="0"/>
          <w:marTop w:val="0"/>
          <w:marBottom w:val="0"/>
          <w:divBdr>
            <w:top w:val="none" w:sz="0" w:space="0" w:color="auto"/>
            <w:left w:val="none" w:sz="0" w:space="0" w:color="auto"/>
            <w:bottom w:val="none" w:sz="0" w:space="0" w:color="auto"/>
            <w:right w:val="none" w:sz="0" w:space="0" w:color="auto"/>
          </w:divBdr>
          <w:divsChild>
            <w:div w:id="3050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06319">
      <w:bodyDiv w:val="1"/>
      <w:marLeft w:val="0"/>
      <w:marRight w:val="0"/>
      <w:marTop w:val="0"/>
      <w:marBottom w:val="0"/>
      <w:divBdr>
        <w:top w:val="none" w:sz="0" w:space="0" w:color="auto"/>
        <w:left w:val="none" w:sz="0" w:space="0" w:color="auto"/>
        <w:bottom w:val="none" w:sz="0" w:space="0" w:color="auto"/>
        <w:right w:val="none" w:sz="0" w:space="0" w:color="auto"/>
      </w:divBdr>
      <w:divsChild>
        <w:div w:id="1630017520">
          <w:marLeft w:val="0"/>
          <w:marRight w:val="0"/>
          <w:marTop w:val="0"/>
          <w:marBottom w:val="0"/>
          <w:divBdr>
            <w:top w:val="none" w:sz="0" w:space="0" w:color="auto"/>
            <w:left w:val="none" w:sz="0" w:space="0" w:color="auto"/>
            <w:bottom w:val="none" w:sz="0" w:space="0" w:color="auto"/>
            <w:right w:val="none" w:sz="0" w:space="0" w:color="auto"/>
          </w:divBdr>
          <w:divsChild>
            <w:div w:id="1065180532">
              <w:marLeft w:val="0"/>
              <w:marRight w:val="0"/>
              <w:marTop w:val="0"/>
              <w:marBottom w:val="0"/>
              <w:divBdr>
                <w:top w:val="none" w:sz="0" w:space="0" w:color="auto"/>
                <w:left w:val="none" w:sz="0" w:space="0" w:color="auto"/>
                <w:bottom w:val="none" w:sz="0" w:space="0" w:color="auto"/>
                <w:right w:val="none" w:sz="0" w:space="0" w:color="auto"/>
              </w:divBdr>
            </w:div>
          </w:divsChild>
        </w:div>
        <w:div w:id="1753356958">
          <w:marLeft w:val="0"/>
          <w:marRight w:val="0"/>
          <w:marTop w:val="0"/>
          <w:marBottom w:val="0"/>
          <w:divBdr>
            <w:top w:val="none" w:sz="0" w:space="0" w:color="auto"/>
            <w:left w:val="none" w:sz="0" w:space="0" w:color="auto"/>
            <w:bottom w:val="none" w:sz="0" w:space="0" w:color="auto"/>
            <w:right w:val="none" w:sz="0" w:space="0" w:color="auto"/>
          </w:divBdr>
        </w:div>
      </w:divsChild>
    </w:div>
    <w:div w:id="711534937">
      <w:bodyDiv w:val="1"/>
      <w:marLeft w:val="0"/>
      <w:marRight w:val="0"/>
      <w:marTop w:val="0"/>
      <w:marBottom w:val="0"/>
      <w:divBdr>
        <w:top w:val="none" w:sz="0" w:space="0" w:color="auto"/>
        <w:left w:val="none" w:sz="0" w:space="0" w:color="auto"/>
        <w:bottom w:val="none" w:sz="0" w:space="0" w:color="auto"/>
        <w:right w:val="none" w:sz="0" w:space="0" w:color="auto"/>
      </w:divBdr>
    </w:div>
    <w:div w:id="775171062">
      <w:bodyDiv w:val="1"/>
      <w:marLeft w:val="0"/>
      <w:marRight w:val="0"/>
      <w:marTop w:val="0"/>
      <w:marBottom w:val="0"/>
      <w:divBdr>
        <w:top w:val="none" w:sz="0" w:space="0" w:color="auto"/>
        <w:left w:val="none" w:sz="0" w:space="0" w:color="auto"/>
        <w:bottom w:val="none" w:sz="0" w:space="0" w:color="auto"/>
        <w:right w:val="none" w:sz="0" w:space="0" w:color="auto"/>
      </w:divBdr>
      <w:divsChild>
        <w:div w:id="458303559">
          <w:marLeft w:val="480"/>
          <w:marRight w:val="0"/>
          <w:marTop w:val="0"/>
          <w:marBottom w:val="0"/>
          <w:divBdr>
            <w:top w:val="none" w:sz="0" w:space="0" w:color="auto"/>
            <w:left w:val="none" w:sz="0" w:space="0" w:color="auto"/>
            <w:bottom w:val="none" w:sz="0" w:space="0" w:color="auto"/>
            <w:right w:val="none" w:sz="0" w:space="0" w:color="auto"/>
          </w:divBdr>
          <w:divsChild>
            <w:div w:id="13994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9217">
      <w:bodyDiv w:val="1"/>
      <w:marLeft w:val="0"/>
      <w:marRight w:val="0"/>
      <w:marTop w:val="0"/>
      <w:marBottom w:val="0"/>
      <w:divBdr>
        <w:top w:val="none" w:sz="0" w:space="0" w:color="auto"/>
        <w:left w:val="none" w:sz="0" w:space="0" w:color="auto"/>
        <w:bottom w:val="none" w:sz="0" w:space="0" w:color="auto"/>
        <w:right w:val="none" w:sz="0" w:space="0" w:color="auto"/>
      </w:divBdr>
    </w:div>
    <w:div w:id="881671347">
      <w:bodyDiv w:val="1"/>
      <w:marLeft w:val="0"/>
      <w:marRight w:val="0"/>
      <w:marTop w:val="0"/>
      <w:marBottom w:val="0"/>
      <w:divBdr>
        <w:top w:val="none" w:sz="0" w:space="0" w:color="auto"/>
        <w:left w:val="none" w:sz="0" w:space="0" w:color="auto"/>
        <w:bottom w:val="none" w:sz="0" w:space="0" w:color="auto"/>
        <w:right w:val="none" w:sz="0" w:space="0" w:color="auto"/>
      </w:divBdr>
      <w:divsChild>
        <w:div w:id="1979649660">
          <w:marLeft w:val="480"/>
          <w:marRight w:val="0"/>
          <w:marTop w:val="0"/>
          <w:marBottom w:val="0"/>
          <w:divBdr>
            <w:top w:val="none" w:sz="0" w:space="0" w:color="auto"/>
            <w:left w:val="none" w:sz="0" w:space="0" w:color="auto"/>
            <w:bottom w:val="none" w:sz="0" w:space="0" w:color="auto"/>
            <w:right w:val="none" w:sz="0" w:space="0" w:color="auto"/>
          </w:divBdr>
          <w:divsChild>
            <w:div w:id="14237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5293">
      <w:bodyDiv w:val="1"/>
      <w:marLeft w:val="0"/>
      <w:marRight w:val="0"/>
      <w:marTop w:val="0"/>
      <w:marBottom w:val="0"/>
      <w:divBdr>
        <w:top w:val="none" w:sz="0" w:space="0" w:color="auto"/>
        <w:left w:val="none" w:sz="0" w:space="0" w:color="auto"/>
        <w:bottom w:val="none" w:sz="0" w:space="0" w:color="auto"/>
        <w:right w:val="none" w:sz="0" w:space="0" w:color="auto"/>
      </w:divBdr>
      <w:divsChild>
        <w:div w:id="2019379674">
          <w:marLeft w:val="0"/>
          <w:marRight w:val="0"/>
          <w:marTop w:val="100"/>
          <w:marBottom w:val="100"/>
          <w:divBdr>
            <w:top w:val="none" w:sz="0" w:space="0" w:color="auto"/>
            <w:left w:val="none" w:sz="0" w:space="0" w:color="auto"/>
            <w:bottom w:val="none" w:sz="0" w:space="0" w:color="auto"/>
            <w:right w:val="none" w:sz="0" w:space="0" w:color="auto"/>
          </w:divBdr>
          <w:divsChild>
            <w:div w:id="926351777">
              <w:marLeft w:val="0"/>
              <w:marRight w:val="0"/>
              <w:marTop w:val="0"/>
              <w:marBottom w:val="0"/>
              <w:divBdr>
                <w:top w:val="none" w:sz="0" w:space="0" w:color="auto"/>
                <w:left w:val="none" w:sz="0" w:space="0" w:color="auto"/>
                <w:bottom w:val="none" w:sz="0" w:space="0" w:color="auto"/>
                <w:right w:val="none" w:sz="0" w:space="0" w:color="auto"/>
              </w:divBdr>
              <w:divsChild>
                <w:div w:id="8993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7709">
          <w:marLeft w:val="0"/>
          <w:marRight w:val="0"/>
          <w:marTop w:val="0"/>
          <w:marBottom w:val="300"/>
          <w:divBdr>
            <w:top w:val="none" w:sz="0" w:space="0" w:color="auto"/>
            <w:left w:val="none" w:sz="0" w:space="0" w:color="auto"/>
            <w:bottom w:val="none" w:sz="0" w:space="0" w:color="auto"/>
            <w:right w:val="none" w:sz="0" w:space="0" w:color="auto"/>
          </w:divBdr>
          <w:divsChild>
            <w:div w:id="12662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69461">
      <w:bodyDiv w:val="1"/>
      <w:marLeft w:val="0"/>
      <w:marRight w:val="0"/>
      <w:marTop w:val="0"/>
      <w:marBottom w:val="0"/>
      <w:divBdr>
        <w:top w:val="none" w:sz="0" w:space="0" w:color="auto"/>
        <w:left w:val="none" w:sz="0" w:space="0" w:color="auto"/>
        <w:bottom w:val="none" w:sz="0" w:space="0" w:color="auto"/>
        <w:right w:val="none" w:sz="0" w:space="0" w:color="auto"/>
      </w:divBdr>
      <w:divsChild>
        <w:div w:id="4945892">
          <w:marLeft w:val="0"/>
          <w:marRight w:val="0"/>
          <w:marTop w:val="0"/>
          <w:marBottom w:val="0"/>
          <w:divBdr>
            <w:top w:val="none" w:sz="0" w:space="0" w:color="auto"/>
            <w:left w:val="none" w:sz="0" w:space="0" w:color="auto"/>
            <w:bottom w:val="none" w:sz="0" w:space="0" w:color="auto"/>
            <w:right w:val="none" w:sz="0" w:space="0" w:color="auto"/>
          </w:divBdr>
        </w:div>
        <w:div w:id="348338482">
          <w:marLeft w:val="0"/>
          <w:marRight w:val="0"/>
          <w:marTop w:val="0"/>
          <w:marBottom w:val="0"/>
          <w:divBdr>
            <w:top w:val="none" w:sz="0" w:space="0" w:color="auto"/>
            <w:left w:val="none" w:sz="0" w:space="0" w:color="auto"/>
            <w:bottom w:val="none" w:sz="0" w:space="0" w:color="auto"/>
            <w:right w:val="none" w:sz="0" w:space="0" w:color="auto"/>
          </w:divBdr>
        </w:div>
        <w:div w:id="418411789">
          <w:marLeft w:val="0"/>
          <w:marRight w:val="0"/>
          <w:marTop w:val="0"/>
          <w:marBottom w:val="0"/>
          <w:divBdr>
            <w:top w:val="none" w:sz="0" w:space="0" w:color="auto"/>
            <w:left w:val="none" w:sz="0" w:space="0" w:color="auto"/>
            <w:bottom w:val="none" w:sz="0" w:space="0" w:color="auto"/>
            <w:right w:val="none" w:sz="0" w:space="0" w:color="auto"/>
          </w:divBdr>
        </w:div>
        <w:div w:id="2124764971">
          <w:marLeft w:val="0"/>
          <w:marRight w:val="0"/>
          <w:marTop w:val="0"/>
          <w:marBottom w:val="0"/>
          <w:divBdr>
            <w:top w:val="none" w:sz="0" w:space="0" w:color="auto"/>
            <w:left w:val="none" w:sz="0" w:space="0" w:color="auto"/>
            <w:bottom w:val="none" w:sz="0" w:space="0" w:color="auto"/>
            <w:right w:val="none" w:sz="0" w:space="0" w:color="auto"/>
          </w:divBdr>
        </w:div>
        <w:div w:id="379136654">
          <w:marLeft w:val="0"/>
          <w:marRight w:val="0"/>
          <w:marTop w:val="0"/>
          <w:marBottom w:val="0"/>
          <w:divBdr>
            <w:top w:val="none" w:sz="0" w:space="0" w:color="auto"/>
            <w:left w:val="none" w:sz="0" w:space="0" w:color="auto"/>
            <w:bottom w:val="none" w:sz="0" w:space="0" w:color="auto"/>
            <w:right w:val="none" w:sz="0" w:space="0" w:color="auto"/>
          </w:divBdr>
        </w:div>
        <w:div w:id="1755080992">
          <w:marLeft w:val="0"/>
          <w:marRight w:val="0"/>
          <w:marTop w:val="0"/>
          <w:marBottom w:val="0"/>
          <w:divBdr>
            <w:top w:val="none" w:sz="0" w:space="0" w:color="auto"/>
            <w:left w:val="none" w:sz="0" w:space="0" w:color="auto"/>
            <w:bottom w:val="none" w:sz="0" w:space="0" w:color="auto"/>
            <w:right w:val="none" w:sz="0" w:space="0" w:color="auto"/>
          </w:divBdr>
        </w:div>
        <w:div w:id="393965641">
          <w:marLeft w:val="0"/>
          <w:marRight w:val="0"/>
          <w:marTop w:val="0"/>
          <w:marBottom w:val="0"/>
          <w:divBdr>
            <w:top w:val="none" w:sz="0" w:space="0" w:color="auto"/>
            <w:left w:val="none" w:sz="0" w:space="0" w:color="auto"/>
            <w:bottom w:val="none" w:sz="0" w:space="0" w:color="auto"/>
            <w:right w:val="none" w:sz="0" w:space="0" w:color="auto"/>
          </w:divBdr>
        </w:div>
      </w:divsChild>
    </w:div>
    <w:div w:id="949355367">
      <w:bodyDiv w:val="1"/>
      <w:marLeft w:val="0"/>
      <w:marRight w:val="0"/>
      <w:marTop w:val="0"/>
      <w:marBottom w:val="0"/>
      <w:divBdr>
        <w:top w:val="none" w:sz="0" w:space="0" w:color="auto"/>
        <w:left w:val="none" w:sz="0" w:space="0" w:color="auto"/>
        <w:bottom w:val="none" w:sz="0" w:space="0" w:color="auto"/>
        <w:right w:val="none" w:sz="0" w:space="0" w:color="auto"/>
      </w:divBdr>
    </w:div>
    <w:div w:id="972323479">
      <w:bodyDiv w:val="1"/>
      <w:marLeft w:val="0"/>
      <w:marRight w:val="0"/>
      <w:marTop w:val="0"/>
      <w:marBottom w:val="0"/>
      <w:divBdr>
        <w:top w:val="none" w:sz="0" w:space="0" w:color="auto"/>
        <w:left w:val="none" w:sz="0" w:space="0" w:color="auto"/>
        <w:bottom w:val="none" w:sz="0" w:space="0" w:color="auto"/>
        <w:right w:val="none" w:sz="0" w:space="0" w:color="auto"/>
      </w:divBdr>
    </w:div>
    <w:div w:id="1000038916">
      <w:bodyDiv w:val="1"/>
      <w:marLeft w:val="0"/>
      <w:marRight w:val="0"/>
      <w:marTop w:val="0"/>
      <w:marBottom w:val="0"/>
      <w:divBdr>
        <w:top w:val="none" w:sz="0" w:space="0" w:color="auto"/>
        <w:left w:val="none" w:sz="0" w:space="0" w:color="auto"/>
        <w:bottom w:val="none" w:sz="0" w:space="0" w:color="auto"/>
        <w:right w:val="none" w:sz="0" w:space="0" w:color="auto"/>
      </w:divBdr>
    </w:div>
    <w:div w:id="1086727608">
      <w:bodyDiv w:val="1"/>
      <w:marLeft w:val="0"/>
      <w:marRight w:val="0"/>
      <w:marTop w:val="0"/>
      <w:marBottom w:val="0"/>
      <w:divBdr>
        <w:top w:val="none" w:sz="0" w:space="0" w:color="auto"/>
        <w:left w:val="none" w:sz="0" w:space="0" w:color="auto"/>
        <w:bottom w:val="none" w:sz="0" w:space="0" w:color="auto"/>
        <w:right w:val="none" w:sz="0" w:space="0" w:color="auto"/>
      </w:divBdr>
    </w:div>
    <w:div w:id="1090002837">
      <w:bodyDiv w:val="1"/>
      <w:marLeft w:val="0"/>
      <w:marRight w:val="0"/>
      <w:marTop w:val="0"/>
      <w:marBottom w:val="0"/>
      <w:divBdr>
        <w:top w:val="none" w:sz="0" w:space="0" w:color="auto"/>
        <w:left w:val="none" w:sz="0" w:space="0" w:color="auto"/>
        <w:bottom w:val="none" w:sz="0" w:space="0" w:color="auto"/>
        <w:right w:val="none" w:sz="0" w:space="0" w:color="auto"/>
      </w:divBdr>
    </w:div>
    <w:div w:id="1099527885">
      <w:bodyDiv w:val="1"/>
      <w:marLeft w:val="0"/>
      <w:marRight w:val="0"/>
      <w:marTop w:val="0"/>
      <w:marBottom w:val="0"/>
      <w:divBdr>
        <w:top w:val="none" w:sz="0" w:space="0" w:color="auto"/>
        <w:left w:val="none" w:sz="0" w:space="0" w:color="auto"/>
        <w:bottom w:val="none" w:sz="0" w:space="0" w:color="auto"/>
        <w:right w:val="none" w:sz="0" w:space="0" w:color="auto"/>
      </w:divBdr>
    </w:div>
    <w:div w:id="1108499917">
      <w:bodyDiv w:val="1"/>
      <w:marLeft w:val="0"/>
      <w:marRight w:val="0"/>
      <w:marTop w:val="0"/>
      <w:marBottom w:val="0"/>
      <w:divBdr>
        <w:top w:val="none" w:sz="0" w:space="0" w:color="auto"/>
        <w:left w:val="none" w:sz="0" w:space="0" w:color="auto"/>
        <w:bottom w:val="none" w:sz="0" w:space="0" w:color="auto"/>
        <w:right w:val="none" w:sz="0" w:space="0" w:color="auto"/>
      </w:divBdr>
    </w:div>
    <w:div w:id="1141844386">
      <w:bodyDiv w:val="1"/>
      <w:marLeft w:val="0"/>
      <w:marRight w:val="0"/>
      <w:marTop w:val="0"/>
      <w:marBottom w:val="0"/>
      <w:divBdr>
        <w:top w:val="none" w:sz="0" w:space="0" w:color="auto"/>
        <w:left w:val="none" w:sz="0" w:space="0" w:color="auto"/>
        <w:bottom w:val="none" w:sz="0" w:space="0" w:color="auto"/>
        <w:right w:val="none" w:sz="0" w:space="0" w:color="auto"/>
      </w:divBdr>
    </w:div>
    <w:div w:id="138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31405022">
          <w:marLeft w:val="0"/>
          <w:marRight w:val="0"/>
          <w:marTop w:val="0"/>
          <w:marBottom w:val="0"/>
          <w:divBdr>
            <w:top w:val="none" w:sz="0" w:space="0" w:color="auto"/>
            <w:left w:val="none" w:sz="0" w:space="0" w:color="auto"/>
            <w:bottom w:val="none" w:sz="0" w:space="0" w:color="auto"/>
            <w:right w:val="none" w:sz="0" w:space="0" w:color="auto"/>
          </w:divBdr>
        </w:div>
        <w:div w:id="307781597">
          <w:marLeft w:val="0"/>
          <w:marRight w:val="0"/>
          <w:marTop w:val="150"/>
          <w:marBottom w:val="0"/>
          <w:divBdr>
            <w:top w:val="single" w:sz="6" w:space="5" w:color="auto"/>
            <w:left w:val="single" w:sz="6" w:space="9" w:color="auto"/>
            <w:bottom w:val="single" w:sz="6" w:space="5" w:color="auto"/>
            <w:right w:val="single" w:sz="6" w:space="9" w:color="auto"/>
          </w:divBdr>
        </w:div>
      </w:divsChild>
    </w:div>
    <w:div w:id="1427918555">
      <w:bodyDiv w:val="1"/>
      <w:marLeft w:val="0"/>
      <w:marRight w:val="0"/>
      <w:marTop w:val="0"/>
      <w:marBottom w:val="0"/>
      <w:divBdr>
        <w:top w:val="none" w:sz="0" w:space="0" w:color="auto"/>
        <w:left w:val="none" w:sz="0" w:space="0" w:color="auto"/>
        <w:bottom w:val="none" w:sz="0" w:space="0" w:color="auto"/>
        <w:right w:val="none" w:sz="0" w:space="0" w:color="auto"/>
      </w:divBdr>
    </w:div>
    <w:div w:id="1472599689">
      <w:bodyDiv w:val="1"/>
      <w:marLeft w:val="0"/>
      <w:marRight w:val="0"/>
      <w:marTop w:val="0"/>
      <w:marBottom w:val="0"/>
      <w:divBdr>
        <w:top w:val="none" w:sz="0" w:space="0" w:color="auto"/>
        <w:left w:val="none" w:sz="0" w:space="0" w:color="auto"/>
        <w:bottom w:val="none" w:sz="0" w:space="0" w:color="auto"/>
        <w:right w:val="none" w:sz="0" w:space="0" w:color="auto"/>
      </w:divBdr>
    </w:div>
    <w:div w:id="1628583664">
      <w:bodyDiv w:val="1"/>
      <w:marLeft w:val="0"/>
      <w:marRight w:val="0"/>
      <w:marTop w:val="0"/>
      <w:marBottom w:val="0"/>
      <w:divBdr>
        <w:top w:val="none" w:sz="0" w:space="0" w:color="auto"/>
        <w:left w:val="none" w:sz="0" w:space="0" w:color="auto"/>
        <w:bottom w:val="none" w:sz="0" w:space="0" w:color="auto"/>
        <w:right w:val="none" w:sz="0" w:space="0" w:color="auto"/>
      </w:divBdr>
    </w:div>
    <w:div w:id="1641223806">
      <w:bodyDiv w:val="1"/>
      <w:marLeft w:val="0"/>
      <w:marRight w:val="0"/>
      <w:marTop w:val="0"/>
      <w:marBottom w:val="0"/>
      <w:divBdr>
        <w:top w:val="none" w:sz="0" w:space="0" w:color="auto"/>
        <w:left w:val="none" w:sz="0" w:space="0" w:color="auto"/>
        <w:bottom w:val="none" w:sz="0" w:space="0" w:color="auto"/>
        <w:right w:val="none" w:sz="0" w:space="0" w:color="auto"/>
      </w:divBdr>
      <w:divsChild>
        <w:div w:id="536623311">
          <w:marLeft w:val="0"/>
          <w:marRight w:val="0"/>
          <w:marTop w:val="100"/>
          <w:marBottom w:val="100"/>
          <w:divBdr>
            <w:top w:val="none" w:sz="0" w:space="0" w:color="auto"/>
            <w:left w:val="none" w:sz="0" w:space="0" w:color="auto"/>
            <w:bottom w:val="none" w:sz="0" w:space="0" w:color="auto"/>
            <w:right w:val="none" w:sz="0" w:space="0" w:color="auto"/>
          </w:divBdr>
          <w:divsChild>
            <w:div w:id="1902909436">
              <w:marLeft w:val="0"/>
              <w:marRight w:val="0"/>
              <w:marTop w:val="0"/>
              <w:marBottom w:val="0"/>
              <w:divBdr>
                <w:top w:val="none" w:sz="0" w:space="0" w:color="auto"/>
                <w:left w:val="none" w:sz="0" w:space="0" w:color="auto"/>
                <w:bottom w:val="none" w:sz="0" w:space="0" w:color="auto"/>
                <w:right w:val="none" w:sz="0" w:space="0" w:color="auto"/>
              </w:divBdr>
              <w:divsChild>
                <w:div w:id="14806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6429">
          <w:marLeft w:val="0"/>
          <w:marRight w:val="0"/>
          <w:marTop w:val="0"/>
          <w:marBottom w:val="300"/>
          <w:divBdr>
            <w:top w:val="none" w:sz="0" w:space="0" w:color="auto"/>
            <w:left w:val="none" w:sz="0" w:space="0" w:color="auto"/>
            <w:bottom w:val="none" w:sz="0" w:space="0" w:color="auto"/>
            <w:right w:val="none" w:sz="0" w:space="0" w:color="auto"/>
          </w:divBdr>
          <w:divsChild>
            <w:div w:id="19658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5887">
      <w:bodyDiv w:val="1"/>
      <w:marLeft w:val="0"/>
      <w:marRight w:val="0"/>
      <w:marTop w:val="0"/>
      <w:marBottom w:val="0"/>
      <w:divBdr>
        <w:top w:val="none" w:sz="0" w:space="0" w:color="auto"/>
        <w:left w:val="none" w:sz="0" w:space="0" w:color="auto"/>
        <w:bottom w:val="none" w:sz="0" w:space="0" w:color="auto"/>
        <w:right w:val="none" w:sz="0" w:space="0" w:color="auto"/>
      </w:divBdr>
    </w:div>
    <w:div w:id="1800494654">
      <w:bodyDiv w:val="1"/>
      <w:marLeft w:val="0"/>
      <w:marRight w:val="0"/>
      <w:marTop w:val="0"/>
      <w:marBottom w:val="0"/>
      <w:divBdr>
        <w:top w:val="none" w:sz="0" w:space="0" w:color="auto"/>
        <w:left w:val="none" w:sz="0" w:space="0" w:color="auto"/>
        <w:bottom w:val="none" w:sz="0" w:space="0" w:color="auto"/>
        <w:right w:val="none" w:sz="0" w:space="0" w:color="auto"/>
      </w:divBdr>
    </w:div>
    <w:div w:id="1823308113">
      <w:bodyDiv w:val="1"/>
      <w:marLeft w:val="0"/>
      <w:marRight w:val="0"/>
      <w:marTop w:val="0"/>
      <w:marBottom w:val="0"/>
      <w:divBdr>
        <w:top w:val="none" w:sz="0" w:space="0" w:color="auto"/>
        <w:left w:val="none" w:sz="0" w:space="0" w:color="auto"/>
        <w:bottom w:val="none" w:sz="0" w:space="0" w:color="auto"/>
        <w:right w:val="none" w:sz="0" w:space="0" w:color="auto"/>
      </w:divBdr>
    </w:div>
    <w:div w:id="20834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69CB-2EBB-3142-8F92-F1E33829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3284</Words>
  <Characters>18721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Hodine Williams</dc:creator>
  <cp:keywords/>
  <dc:description/>
  <cp:lastModifiedBy>Nathan Heath (BLAC)</cp:lastModifiedBy>
  <cp:revision>4</cp:revision>
  <dcterms:created xsi:type="dcterms:W3CDTF">2026-05-26T18:21:00Z</dcterms:created>
  <dcterms:modified xsi:type="dcterms:W3CDTF">2026-05-30T01:29:00Z</dcterms:modified>
</cp:coreProperties>
</file>