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223D" w14:textId="77777777" w:rsidR="006D0F7B" w:rsidRPr="00915D97" w:rsidRDefault="006D0F7B" w:rsidP="006D0F7B">
      <w:pPr>
        <w:pStyle w:val="Heading1"/>
      </w:pPr>
      <w:bookmarkStart w:id="0" w:name="_Toc199153167"/>
      <w:r w:rsidRPr="00915D97">
        <w:t>Framework for Cultural Impact Assessments in Sentencing Proceedings</w:t>
      </w:r>
      <w:bookmarkEnd w:id="0"/>
    </w:p>
    <w:p w14:paraId="7A8E6F34" w14:textId="1928EC54" w:rsidR="00FC7AA6" w:rsidRPr="006D0F7B" w:rsidRDefault="00FC7AA6" w:rsidP="006D0F7B">
      <w:pPr>
        <w:rPr>
          <w:rFonts w:ascii="Bookman Old Style" w:eastAsiaTheme="majorEastAsia" w:hAnsi="Bookman Old Style" w:cstheme="majorBidi"/>
          <w:color w:val="000000" w:themeColor="text1"/>
          <w:spacing w:val="-10"/>
          <w:kern w:val="28"/>
        </w:rPr>
      </w:pPr>
    </w:p>
    <w:p w14:paraId="454D1A32"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p>
    <w:p w14:paraId="39F2D731" w14:textId="77777777" w:rsidR="00FC7AA6" w:rsidRPr="00912BBF" w:rsidRDefault="00FC7AA6" w:rsidP="00912BBF">
      <w:pPr>
        <w:spacing w:line="276" w:lineRule="auto"/>
        <w:jc w:val="both"/>
        <w:rPr>
          <w:rFonts w:ascii="Bookman Old Style" w:eastAsiaTheme="majorEastAsia" w:hAnsi="Bookman Old Style" w:cstheme="majorBidi"/>
          <w:b/>
          <w:bCs/>
          <w:color w:val="000000" w:themeColor="text1"/>
          <w:spacing w:val="-10"/>
          <w:kern w:val="28"/>
        </w:rPr>
      </w:pPr>
      <w:r w:rsidRPr="00912BBF">
        <w:rPr>
          <w:rFonts w:ascii="Bookman Old Style" w:eastAsiaTheme="majorEastAsia" w:hAnsi="Bookman Old Style" w:cstheme="majorBidi"/>
          <w:b/>
          <w:bCs/>
          <w:color w:val="000000" w:themeColor="text1"/>
          <w:spacing w:val="-10"/>
          <w:kern w:val="28"/>
        </w:rPr>
        <w:t>Purpose and Foundation of Cultural Impact Assessments</w:t>
      </w:r>
    </w:p>
    <w:p w14:paraId="34364346" w14:textId="41B2E9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r w:rsidRPr="00912BBF">
        <w:rPr>
          <w:rFonts w:ascii="Bookman Old Style" w:eastAsiaTheme="majorEastAsia" w:hAnsi="Bookman Old Style" w:cstheme="majorBidi"/>
          <w:color w:val="000000" w:themeColor="text1"/>
          <w:spacing w:val="-10"/>
          <w:kern w:val="28"/>
        </w:rPr>
        <w:t>A Cultural Impact Assessment (CIA) is an evidentiary tool designed to provide sentencing courts with a nuanced understanding of how systemic racism, historical marginalization, and social inequality have shaped the life circumstances of Black and racialized offenders. These assessments serve a critical function in criminal proceedings by contextualizing an individual’s actions within broader societal structures that disproportionately criminalize and penalize racialized communities. Unlike traditional presentence reports, which often focus narrowly on an offender’s criminal history and immediate circumstances, a CIA adopts an intersectional lens: examining how race, class, gender, and other identity markers intersect to influence an individual’s trajectory through the justice system.</w:t>
      </w:r>
    </w:p>
    <w:p w14:paraId="20BFB16B"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p>
    <w:p w14:paraId="7506194E"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r w:rsidRPr="00912BBF">
        <w:rPr>
          <w:rFonts w:ascii="Bookman Old Style" w:eastAsiaTheme="majorEastAsia" w:hAnsi="Bookman Old Style" w:cstheme="majorBidi"/>
          <w:color w:val="000000" w:themeColor="text1"/>
          <w:spacing w:val="-10"/>
          <w:kern w:val="28"/>
        </w:rPr>
        <w:t xml:space="preserve">Courts have increasingly recognized the value of CIAs in ensuring that sentencing decisions are both proportionate and equitable. In </w:t>
      </w:r>
      <w:r w:rsidRPr="00912BBF">
        <w:rPr>
          <w:rFonts w:ascii="Bookman Old Style" w:eastAsiaTheme="majorEastAsia" w:hAnsi="Bookman Old Style" w:cstheme="majorBidi"/>
          <w:i/>
          <w:iCs/>
          <w:color w:val="000000" w:themeColor="text1"/>
          <w:spacing w:val="-10"/>
          <w:kern w:val="28"/>
        </w:rPr>
        <w:t>R. v. Morris, 2021 ONCA 680</w:t>
      </w:r>
      <w:r w:rsidRPr="00912BBF">
        <w:rPr>
          <w:rFonts w:ascii="Bookman Old Style" w:eastAsiaTheme="majorEastAsia" w:hAnsi="Bookman Old Style" w:cstheme="majorBidi"/>
          <w:color w:val="000000" w:themeColor="text1"/>
          <w:spacing w:val="-10"/>
          <w:kern w:val="28"/>
        </w:rPr>
        <w:t>, the Ontario Court of Appeal affirmed that systemic anti-Black racism must be considered at sentencing, particularly where an offender’s background demonstrates the compounding effects of discrimination, poverty, and over-policing. A well-prepared CIA ensures that these factors are not merely acknowledged in the abstract but are substantiated through expert analysis, empirical data, and the offender’s lived experiences.</w:t>
      </w:r>
    </w:p>
    <w:p w14:paraId="0605B176"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p>
    <w:p w14:paraId="2375B38A" w14:textId="4FD2EC4B" w:rsidR="00FC7AA6" w:rsidRPr="00912BBF" w:rsidRDefault="00FC7AA6" w:rsidP="00915D97">
      <w:pPr>
        <w:pStyle w:val="Heading1"/>
      </w:pPr>
      <w:bookmarkStart w:id="1" w:name="_Toc199153168"/>
      <w:r w:rsidRPr="00912BBF">
        <w:t>Recommended Structure for Cultural Impact Assessments</w:t>
      </w:r>
      <w:bookmarkEnd w:id="1"/>
    </w:p>
    <w:p w14:paraId="75758D65"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r w:rsidRPr="00912BBF">
        <w:rPr>
          <w:rFonts w:ascii="Bookman Old Style" w:eastAsiaTheme="majorEastAsia" w:hAnsi="Bookman Old Style" w:cstheme="majorBidi"/>
          <w:color w:val="000000" w:themeColor="text1"/>
          <w:spacing w:val="-10"/>
          <w:kern w:val="28"/>
        </w:rPr>
        <w:t>To maximize their effectiveness, CIAs should adhere to a structured yet flexible format that balances legal relevance with cultural and psychological insight. Below is a detailed framework for drafting a comprehensive CIA:</w:t>
      </w:r>
    </w:p>
    <w:p w14:paraId="39BE5AD8"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p>
    <w:p w14:paraId="56AFF3BF" w14:textId="77777777" w:rsidR="00FC7AA6" w:rsidRPr="00456148" w:rsidRDefault="00FC7AA6" w:rsidP="00912BBF">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1. Introduction</w:t>
      </w:r>
    </w:p>
    <w:p w14:paraId="3726DA14" w14:textId="3B780320"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Purpose of the Assessment</w:t>
      </w:r>
      <w:r w:rsidRPr="00456148">
        <w:rPr>
          <w:rFonts w:ascii="Courier New" w:eastAsiaTheme="majorEastAsia" w:hAnsi="Courier New" w:cs="Courier New"/>
          <w:color w:val="000000" w:themeColor="text1"/>
          <w:spacing w:val="-10"/>
          <w:kern w:val="28"/>
        </w:rPr>
        <w:t>: Clearly articulate the objectives of the CIA, emphasizing its role in assisting the court in rendering a fair and culturally informed sentence.</w:t>
      </w:r>
    </w:p>
    <w:p w14:paraId="6888F61F"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695700B1" w14:textId="1D162795"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Qualifications of the Assessor</w:t>
      </w:r>
      <w:r w:rsidRPr="00456148">
        <w:rPr>
          <w:rFonts w:ascii="Courier New" w:eastAsiaTheme="majorEastAsia" w:hAnsi="Courier New" w:cs="Courier New"/>
          <w:color w:val="000000" w:themeColor="text1"/>
          <w:spacing w:val="-10"/>
          <w:kern w:val="28"/>
        </w:rPr>
        <w:t xml:space="preserve">: Identify the author(s) of the report (e.g., social workers, criminologists, psychologists, or cultural </w:t>
      </w:r>
      <w:r w:rsidRPr="00456148">
        <w:rPr>
          <w:rFonts w:ascii="Courier New" w:eastAsiaTheme="majorEastAsia" w:hAnsi="Courier New" w:cs="Courier New"/>
          <w:color w:val="000000" w:themeColor="text1"/>
          <w:spacing w:val="-10"/>
          <w:kern w:val="28"/>
        </w:rPr>
        <w:lastRenderedPageBreak/>
        <w:t>consultants with expertise in anti-Black racism) and their methodology (e.g., interviews, review of records, consultation with community members).</w:t>
      </w:r>
    </w:p>
    <w:p w14:paraId="49C262B0"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4150D25A"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Relevance to the Case</w:t>
      </w:r>
      <w:r w:rsidRPr="00456148">
        <w:rPr>
          <w:rFonts w:ascii="Courier New" w:eastAsiaTheme="majorEastAsia" w:hAnsi="Courier New" w:cs="Courier New"/>
          <w:color w:val="000000" w:themeColor="text1"/>
          <w:spacing w:val="-10"/>
          <w:kern w:val="28"/>
        </w:rPr>
        <w:t>: Explain why a CIA is warranted, citing any applicable jurisprudence (</w:t>
      </w:r>
      <w:r w:rsidRPr="00456148">
        <w:rPr>
          <w:rFonts w:ascii="Courier New" w:eastAsiaTheme="majorEastAsia" w:hAnsi="Courier New" w:cs="Courier New"/>
          <w:i/>
          <w:iCs/>
          <w:color w:val="000000" w:themeColor="text1"/>
          <w:spacing w:val="-10"/>
          <w:kern w:val="28"/>
        </w:rPr>
        <w:t>Morris, Ipeelee</w:t>
      </w:r>
      <w:r w:rsidRPr="00456148">
        <w:rPr>
          <w:rFonts w:ascii="Courier New" w:eastAsiaTheme="majorEastAsia" w:hAnsi="Courier New" w:cs="Courier New"/>
          <w:color w:val="000000" w:themeColor="text1"/>
          <w:spacing w:val="-10"/>
          <w:kern w:val="28"/>
        </w:rPr>
        <w:t>) and highlighting case-specific factors (e.g., the offender’s experiences with systemic discrimination, trauma, or institutional bias).</w:t>
      </w:r>
    </w:p>
    <w:p w14:paraId="54A2AD6C"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7FE3E332" w14:textId="77777777" w:rsidR="00FC7AA6" w:rsidRPr="00456148" w:rsidRDefault="00FC7AA6" w:rsidP="00912BBF">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2. Background of the Offender</w:t>
      </w:r>
    </w:p>
    <w:p w14:paraId="7EF64939" w14:textId="112DF113" w:rsidR="00FC7AA6"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Demographic and Biographical Details</w:t>
      </w:r>
      <w:r w:rsidRPr="00456148">
        <w:rPr>
          <w:rFonts w:ascii="Courier New" w:eastAsiaTheme="majorEastAsia" w:hAnsi="Courier New" w:cs="Courier New"/>
          <w:color w:val="000000" w:themeColor="text1"/>
          <w:spacing w:val="-10"/>
          <w:kern w:val="28"/>
        </w:rPr>
        <w:t>: Age, ethnicity, family structure, immigration history (if applicable), and cultural/religious affiliations.</w:t>
      </w:r>
    </w:p>
    <w:p w14:paraId="74CD9850" w14:textId="77777777" w:rsidR="00C9507B" w:rsidRPr="00456148" w:rsidRDefault="00C9507B" w:rsidP="00912BBF">
      <w:pPr>
        <w:spacing w:line="276" w:lineRule="auto"/>
        <w:jc w:val="both"/>
        <w:rPr>
          <w:rFonts w:ascii="Courier New" w:eastAsiaTheme="majorEastAsia" w:hAnsi="Courier New" w:cs="Courier New"/>
          <w:color w:val="000000" w:themeColor="text1"/>
          <w:spacing w:val="-10"/>
          <w:kern w:val="28"/>
        </w:rPr>
      </w:pPr>
    </w:p>
    <w:p w14:paraId="496410E2"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Socioeconomic Context</w:t>
      </w:r>
      <w:r w:rsidRPr="00456148">
        <w:rPr>
          <w:rFonts w:ascii="Courier New" w:eastAsiaTheme="majorEastAsia" w:hAnsi="Courier New" w:cs="Courier New"/>
          <w:color w:val="000000" w:themeColor="text1"/>
          <w:spacing w:val="-10"/>
          <w:kern w:val="28"/>
        </w:rPr>
        <w:t>: Housing instability, food insecurity, employment barriers, and other indicators of economic marginalization.</w:t>
      </w:r>
    </w:p>
    <w:p w14:paraId="1EE88DA3"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5A8E7064"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Educational and Employment History</w:t>
      </w:r>
      <w:r w:rsidRPr="00456148">
        <w:rPr>
          <w:rFonts w:ascii="Courier New" w:eastAsiaTheme="majorEastAsia" w:hAnsi="Courier New" w:cs="Courier New"/>
          <w:color w:val="000000" w:themeColor="text1"/>
          <w:spacing w:val="-10"/>
          <w:kern w:val="28"/>
        </w:rPr>
        <w:t>: Document systemic obstacles such as discriminatory streaming in schools, workplace discrimination, or exclusion from job opportunities.</w:t>
      </w:r>
    </w:p>
    <w:p w14:paraId="257AA5CA"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6D36FAB7"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Community and Familial Ties</w:t>
      </w:r>
      <w:r w:rsidRPr="00456148">
        <w:rPr>
          <w:rFonts w:ascii="Courier New" w:eastAsiaTheme="majorEastAsia" w:hAnsi="Courier New" w:cs="Courier New"/>
          <w:color w:val="000000" w:themeColor="text1"/>
          <w:spacing w:val="-10"/>
          <w:kern w:val="28"/>
        </w:rPr>
        <w:t>: Positive contributions to family or community (e.g., caregiving, volunteer work) that demonstrate rehabilitative potential.</w:t>
      </w:r>
    </w:p>
    <w:p w14:paraId="713D317E" w14:textId="77777777" w:rsidR="00FC7AA6" w:rsidRDefault="00FC7AA6" w:rsidP="00912BBF">
      <w:pPr>
        <w:spacing w:line="276" w:lineRule="auto"/>
        <w:jc w:val="both"/>
        <w:rPr>
          <w:rFonts w:ascii="Courier New" w:eastAsiaTheme="majorEastAsia" w:hAnsi="Courier New" w:cs="Courier New"/>
          <w:color w:val="000000" w:themeColor="text1"/>
          <w:spacing w:val="-10"/>
          <w:kern w:val="28"/>
        </w:rPr>
      </w:pPr>
    </w:p>
    <w:p w14:paraId="0F322551" w14:textId="77777777" w:rsidR="00C9507B" w:rsidRPr="00456148" w:rsidRDefault="00C9507B" w:rsidP="00912BBF">
      <w:pPr>
        <w:spacing w:line="276" w:lineRule="auto"/>
        <w:jc w:val="both"/>
        <w:rPr>
          <w:rFonts w:ascii="Courier New" w:eastAsiaTheme="majorEastAsia" w:hAnsi="Courier New" w:cs="Courier New"/>
          <w:color w:val="000000" w:themeColor="text1"/>
          <w:spacing w:val="-10"/>
          <w:kern w:val="28"/>
        </w:rPr>
      </w:pPr>
    </w:p>
    <w:p w14:paraId="53A0A815" w14:textId="77777777" w:rsidR="00FC7AA6" w:rsidRPr="00456148" w:rsidRDefault="00FC7AA6" w:rsidP="00912BBF">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3. History of Racial Discrimination and Systemic Disadvantage</w:t>
      </w:r>
    </w:p>
    <w:p w14:paraId="555D0A77"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Experiences with Policing and Surveillance</w:t>
      </w:r>
      <w:r w:rsidRPr="00456148">
        <w:rPr>
          <w:rFonts w:ascii="Courier New" w:eastAsiaTheme="majorEastAsia" w:hAnsi="Courier New" w:cs="Courier New"/>
          <w:color w:val="000000" w:themeColor="text1"/>
          <w:spacing w:val="-10"/>
          <w:kern w:val="28"/>
        </w:rPr>
        <w:t>: Incidents of racial profiling, excessive police contact, or unjustified stops/searches (supported by documentation where possible).</w:t>
      </w:r>
    </w:p>
    <w:p w14:paraId="6D675317"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2FEB8DB8"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Involvement with Child Welfare or Other Systems</w:t>
      </w:r>
      <w:r w:rsidRPr="00456148">
        <w:rPr>
          <w:rFonts w:ascii="Courier New" w:eastAsiaTheme="majorEastAsia" w:hAnsi="Courier New" w:cs="Courier New"/>
          <w:color w:val="000000" w:themeColor="text1"/>
          <w:spacing w:val="-10"/>
          <w:kern w:val="28"/>
        </w:rPr>
        <w:t>: For those impacted by the "school-to-prison pipeline" or family separation due to systemic bias.</w:t>
      </w:r>
    </w:p>
    <w:p w14:paraId="7AA8A920"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336D364C"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Discrimination in Institutional Settings</w:t>
      </w:r>
      <w:r w:rsidRPr="00456148">
        <w:rPr>
          <w:rFonts w:ascii="Courier New" w:eastAsiaTheme="majorEastAsia" w:hAnsi="Courier New" w:cs="Courier New"/>
          <w:color w:val="000000" w:themeColor="text1"/>
          <w:spacing w:val="-10"/>
          <w:kern w:val="28"/>
        </w:rPr>
        <w:t>: Exclusion or punishment in schools, workplaces, or healthcare systems due to racial bias.</w:t>
      </w:r>
    </w:p>
    <w:p w14:paraId="7FC8DD3E"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57DC9958"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Psychological and Emotional Impact</w:t>
      </w:r>
      <w:r w:rsidRPr="00456148">
        <w:rPr>
          <w:rFonts w:ascii="Courier New" w:eastAsiaTheme="majorEastAsia" w:hAnsi="Courier New" w:cs="Courier New"/>
          <w:color w:val="000000" w:themeColor="text1"/>
          <w:spacing w:val="-10"/>
          <w:kern w:val="28"/>
        </w:rPr>
        <w:t>: Effects of chronic discrimination on mental health, including trauma, hypervigilance, or internalized stigma.</w:t>
      </w:r>
    </w:p>
    <w:p w14:paraId="44F3AEB1"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751FAA14" w14:textId="77777777" w:rsidR="00FC7AA6" w:rsidRPr="00456148" w:rsidRDefault="00FC7AA6" w:rsidP="00912BBF">
      <w:pPr>
        <w:spacing w:line="276" w:lineRule="auto"/>
        <w:jc w:val="both"/>
        <w:rPr>
          <w:rFonts w:ascii="Courier New" w:eastAsiaTheme="majorEastAsia" w:hAnsi="Courier New" w:cs="Courier New"/>
          <w:b/>
          <w:bCs/>
          <w:color w:val="000000" w:themeColor="text1"/>
          <w:spacing w:val="-10"/>
          <w:kern w:val="28"/>
        </w:rPr>
      </w:pPr>
    </w:p>
    <w:p w14:paraId="5381A174" w14:textId="75F9397F" w:rsidR="00FC7AA6" w:rsidRPr="00456148" w:rsidRDefault="00FC7AA6" w:rsidP="00912BBF">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lastRenderedPageBreak/>
        <w:t>4. Offence-Specific Contextual Factors</w:t>
      </w:r>
    </w:p>
    <w:p w14:paraId="2F1BC139"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Connection Between Systemic Racism and Offence:</w:t>
      </w:r>
      <w:r w:rsidRPr="00456148">
        <w:rPr>
          <w:rFonts w:ascii="Courier New" w:eastAsiaTheme="majorEastAsia" w:hAnsi="Courier New" w:cs="Courier New"/>
          <w:color w:val="000000" w:themeColor="text1"/>
          <w:spacing w:val="-10"/>
          <w:kern w:val="28"/>
        </w:rPr>
        <w:t xml:space="preserve"> How experiences of marginalization may have contributed to the offence (e.g., survival crimes, substance use as self-medication for trauma).</w:t>
      </w:r>
    </w:p>
    <w:p w14:paraId="56D078A1"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16B098ED"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Trauma and Mental Health</w:t>
      </w:r>
      <w:r w:rsidRPr="00456148">
        <w:rPr>
          <w:rFonts w:ascii="Courier New" w:eastAsiaTheme="majorEastAsia" w:hAnsi="Courier New" w:cs="Courier New"/>
          <w:color w:val="000000" w:themeColor="text1"/>
          <w:spacing w:val="-10"/>
          <w:kern w:val="28"/>
        </w:rPr>
        <w:t>: Histories of violence, intergenerational trauma, or untreated mental health conditions exacerbated by systemic neglect.</w:t>
      </w:r>
    </w:p>
    <w:p w14:paraId="0FE766CF"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3B5FDB35"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Structural Barriers to Compliance</w:t>
      </w:r>
      <w:r w:rsidRPr="00456148">
        <w:rPr>
          <w:rFonts w:ascii="Courier New" w:eastAsiaTheme="majorEastAsia" w:hAnsi="Courier New" w:cs="Courier New"/>
          <w:color w:val="000000" w:themeColor="text1"/>
          <w:spacing w:val="-10"/>
          <w:kern w:val="28"/>
        </w:rPr>
        <w:t>: Challenges such as lack of access to housing, employment, or transportation that may have influenced the offender’s actions.</w:t>
      </w:r>
    </w:p>
    <w:p w14:paraId="67694915"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4D2599BF" w14:textId="5ACCC5AA" w:rsidR="00FC7AA6" w:rsidRPr="00456148" w:rsidRDefault="00FC7AA6" w:rsidP="00912BBF">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5. Culturally Informed Sentencing Recommendations</w:t>
      </w:r>
    </w:p>
    <w:p w14:paraId="36881C8A"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Alternatives to Incarceration</w:t>
      </w:r>
      <w:r w:rsidRPr="00456148">
        <w:rPr>
          <w:rFonts w:ascii="Courier New" w:eastAsiaTheme="majorEastAsia" w:hAnsi="Courier New" w:cs="Courier New"/>
          <w:color w:val="000000" w:themeColor="text1"/>
          <w:spacing w:val="-10"/>
          <w:kern w:val="28"/>
        </w:rPr>
        <w:t>: Proposals for conditional sentences, restorative justice programs, or community-based sanctions that address root causes of offending.</w:t>
      </w:r>
    </w:p>
    <w:p w14:paraId="1EBBA00B"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1EF78B88"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Culturally Appropriate Supports</w:t>
      </w:r>
      <w:r w:rsidRPr="00456148">
        <w:rPr>
          <w:rFonts w:ascii="Courier New" w:eastAsiaTheme="majorEastAsia" w:hAnsi="Courier New" w:cs="Courier New"/>
          <w:color w:val="000000" w:themeColor="text1"/>
          <w:spacing w:val="-10"/>
          <w:kern w:val="28"/>
        </w:rPr>
        <w:t>: Access to Black-led mental health services, mentorship programs, or job training initiatives tailored to the offender’s needs.</w:t>
      </w:r>
    </w:p>
    <w:p w14:paraId="19B0A977"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2961F187" w14:textId="77777777" w:rsidR="00FC7AA6"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Restorative Justice Options</w:t>
      </w:r>
      <w:r w:rsidRPr="00456148">
        <w:rPr>
          <w:rFonts w:ascii="Courier New" w:eastAsiaTheme="majorEastAsia" w:hAnsi="Courier New" w:cs="Courier New"/>
          <w:color w:val="000000" w:themeColor="text1"/>
          <w:spacing w:val="-10"/>
          <w:kern w:val="28"/>
        </w:rPr>
        <w:t>: Where appropriate, recommendations for victim-offender dialogue or community accountability processes grounded in cultural traditions.</w:t>
      </w:r>
    </w:p>
    <w:p w14:paraId="49D82422" w14:textId="77777777" w:rsidR="00456148" w:rsidRPr="00456148" w:rsidRDefault="00456148" w:rsidP="00912BBF">
      <w:pPr>
        <w:spacing w:line="276" w:lineRule="auto"/>
        <w:jc w:val="both"/>
        <w:rPr>
          <w:rFonts w:ascii="Courier New" w:eastAsiaTheme="majorEastAsia" w:hAnsi="Courier New" w:cs="Courier New"/>
          <w:color w:val="000000" w:themeColor="text1"/>
          <w:spacing w:val="-10"/>
          <w:kern w:val="28"/>
        </w:rPr>
      </w:pPr>
    </w:p>
    <w:p w14:paraId="2D7BA3D5"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7B48E968" w14:textId="77777777" w:rsidR="00FC7AA6" w:rsidRPr="00456148" w:rsidRDefault="00FC7AA6" w:rsidP="00912BBF">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6. Conclusion</w:t>
      </w:r>
    </w:p>
    <w:p w14:paraId="372F427A"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Summary of Key Findings: Reiterate how systemic factors mitigate moral culpability and support a rehabilitative approach.</w:t>
      </w:r>
    </w:p>
    <w:p w14:paraId="2B161A5D" w14:textId="77777777" w:rsidR="00FC7AA6" w:rsidRPr="00456148" w:rsidRDefault="00FC7AA6" w:rsidP="00912BBF">
      <w:pPr>
        <w:spacing w:line="276" w:lineRule="auto"/>
        <w:jc w:val="both"/>
        <w:rPr>
          <w:rFonts w:ascii="Courier New" w:eastAsiaTheme="majorEastAsia" w:hAnsi="Courier New" w:cs="Courier New"/>
          <w:color w:val="000000" w:themeColor="text1"/>
          <w:spacing w:val="-10"/>
          <w:kern w:val="28"/>
        </w:rPr>
      </w:pPr>
    </w:p>
    <w:p w14:paraId="2BD383A7" w14:textId="77777777" w:rsidR="00915D97" w:rsidRDefault="00915D97" w:rsidP="00912BBF">
      <w:pPr>
        <w:spacing w:line="276" w:lineRule="auto"/>
        <w:jc w:val="both"/>
        <w:rPr>
          <w:rFonts w:ascii="Bookman Old Style" w:eastAsiaTheme="majorEastAsia" w:hAnsi="Bookman Old Style" w:cstheme="majorBidi"/>
          <w:b/>
          <w:bCs/>
          <w:color w:val="000000" w:themeColor="text1"/>
          <w:spacing w:val="-10"/>
          <w:kern w:val="28"/>
          <w:u w:val="single"/>
        </w:rPr>
      </w:pPr>
    </w:p>
    <w:p w14:paraId="09FE25AC" w14:textId="7DCFE6BB" w:rsidR="00FC7AA6" w:rsidRPr="00912BBF" w:rsidRDefault="00FC7AA6" w:rsidP="00912BBF">
      <w:pPr>
        <w:spacing w:line="276" w:lineRule="auto"/>
        <w:jc w:val="both"/>
        <w:rPr>
          <w:rFonts w:ascii="Bookman Old Style" w:eastAsiaTheme="majorEastAsia" w:hAnsi="Bookman Old Style" w:cstheme="majorBidi"/>
          <w:b/>
          <w:bCs/>
          <w:color w:val="000000" w:themeColor="text1"/>
          <w:spacing w:val="-10"/>
          <w:kern w:val="28"/>
          <w:u w:val="single"/>
        </w:rPr>
      </w:pPr>
      <w:r w:rsidRPr="00912BBF">
        <w:rPr>
          <w:rFonts w:ascii="Bookman Old Style" w:eastAsiaTheme="majorEastAsia" w:hAnsi="Bookman Old Style" w:cstheme="majorBidi"/>
          <w:b/>
          <w:bCs/>
          <w:color w:val="000000" w:themeColor="text1"/>
          <w:spacing w:val="-10"/>
          <w:kern w:val="28"/>
          <w:u w:val="single"/>
        </w:rPr>
        <w:t>N.B.: Urge the court to consider the CIA as a roadmap for a sentence that redresses systemic inequities rather than perpetuates them.</w:t>
      </w:r>
    </w:p>
    <w:p w14:paraId="75F800B0"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p>
    <w:p w14:paraId="463F4B89" w14:textId="77777777" w:rsidR="00FC7AA6" w:rsidRPr="00912BBF" w:rsidRDefault="00FC7AA6" w:rsidP="00912BBF">
      <w:pPr>
        <w:spacing w:line="276" w:lineRule="auto"/>
        <w:jc w:val="both"/>
        <w:rPr>
          <w:rFonts w:ascii="Bookman Old Style" w:eastAsiaTheme="majorEastAsia" w:hAnsi="Bookman Old Style" w:cstheme="majorBidi"/>
          <w:b/>
          <w:bCs/>
          <w:color w:val="000000" w:themeColor="text1"/>
          <w:spacing w:val="-10"/>
          <w:kern w:val="28"/>
        </w:rPr>
      </w:pPr>
      <w:r w:rsidRPr="00912BBF">
        <w:rPr>
          <w:rFonts w:ascii="Bookman Old Style" w:eastAsiaTheme="majorEastAsia" w:hAnsi="Bookman Old Style" w:cstheme="majorBidi"/>
          <w:b/>
          <w:bCs/>
          <w:color w:val="000000" w:themeColor="text1"/>
          <w:spacing w:val="-10"/>
          <w:kern w:val="28"/>
        </w:rPr>
        <w:t>Legal and Ethical Considerations</w:t>
      </w:r>
    </w:p>
    <w:p w14:paraId="05419A52"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r w:rsidRPr="00912BBF">
        <w:rPr>
          <w:rFonts w:ascii="Bookman Old Style" w:eastAsiaTheme="majorEastAsia" w:hAnsi="Bookman Old Style" w:cstheme="majorBidi"/>
          <w:b/>
          <w:bCs/>
          <w:color w:val="000000" w:themeColor="text1"/>
          <w:spacing w:val="-10"/>
          <w:kern w:val="28"/>
        </w:rPr>
        <w:t>Admissibility</w:t>
      </w:r>
      <w:r w:rsidRPr="00912BBF">
        <w:rPr>
          <w:rFonts w:ascii="Bookman Old Style" w:eastAsiaTheme="majorEastAsia" w:hAnsi="Bookman Old Style" w:cstheme="majorBidi"/>
          <w:color w:val="000000" w:themeColor="text1"/>
          <w:spacing w:val="-10"/>
          <w:kern w:val="28"/>
        </w:rPr>
        <w:t>: CIAs must meet evidentiary standards for reliability and relevance. Assessors should base conclusions on verified data, expert literature, and corroborated interviews.</w:t>
      </w:r>
    </w:p>
    <w:p w14:paraId="40C9DD35"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p>
    <w:p w14:paraId="1B38148C"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r w:rsidRPr="00912BBF">
        <w:rPr>
          <w:rFonts w:ascii="Bookman Old Style" w:eastAsiaTheme="majorEastAsia" w:hAnsi="Bookman Old Style" w:cstheme="majorBidi"/>
          <w:b/>
          <w:bCs/>
          <w:color w:val="000000" w:themeColor="text1"/>
          <w:spacing w:val="-10"/>
          <w:kern w:val="28"/>
        </w:rPr>
        <w:t>Confidentiality</w:t>
      </w:r>
      <w:r w:rsidRPr="00912BBF">
        <w:rPr>
          <w:rFonts w:ascii="Bookman Old Style" w:eastAsiaTheme="majorEastAsia" w:hAnsi="Bookman Old Style" w:cstheme="majorBidi"/>
          <w:color w:val="000000" w:themeColor="text1"/>
          <w:spacing w:val="-10"/>
          <w:kern w:val="28"/>
        </w:rPr>
        <w:t>: Protect sensitive information while ensuring transparency for the court.</w:t>
      </w:r>
    </w:p>
    <w:p w14:paraId="5178ED9D"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p>
    <w:p w14:paraId="718A4148" w14:textId="03EF1B8D"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r w:rsidRPr="00912BBF">
        <w:rPr>
          <w:rFonts w:ascii="Bookman Old Style" w:eastAsiaTheme="majorEastAsia" w:hAnsi="Bookman Old Style" w:cstheme="majorBidi"/>
          <w:b/>
          <w:bCs/>
          <w:color w:val="000000" w:themeColor="text1"/>
          <w:spacing w:val="-10"/>
          <w:kern w:val="28"/>
        </w:rPr>
        <w:lastRenderedPageBreak/>
        <w:t>Intersectionality</w:t>
      </w:r>
      <w:r w:rsidRPr="00912BBF">
        <w:rPr>
          <w:rFonts w:ascii="Bookman Old Style" w:eastAsiaTheme="majorEastAsia" w:hAnsi="Bookman Old Style" w:cstheme="majorBidi"/>
          <w:color w:val="000000" w:themeColor="text1"/>
          <w:spacing w:val="-10"/>
          <w:kern w:val="28"/>
        </w:rPr>
        <w:t>: Address overlapping identities (e.g., gender, disability) that compound systemic disadvantage.</w:t>
      </w:r>
    </w:p>
    <w:p w14:paraId="7BBDB9BA"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p>
    <w:p w14:paraId="472DA9C4" w14:textId="15E7CB6C" w:rsidR="00FC7AA6" w:rsidRPr="00915D97" w:rsidRDefault="00915D97" w:rsidP="00912BBF">
      <w:pPr>
        <w:spacing w:line="276" w:lineRule="auto"/>
        <w:jc w:val="both"/>
        <w:rPr>
          <w:rFonts w:ascii="Bookman Old Style" w:eastAsiaTheme="majorEastAsia" w:hAnsi="Bookman Old Style" w:cstheme="majorBidi"/>
          <w:b/>
          <w:bCs/>
          <w:color w:val="000000" w:themeColor="text1"/>
          <w:spacing w:val="-10"/>
          <w:kern w:val="28"/>
        </w:rPr>
      </w:pPr>
      <w:r w:rsidRPr="00915D97">
        <w:rPr>
          <w:rFonts w:ascii="Bookman Old Style" w:eastAsiaTheme="majorEastAsia" w:hAnsi="Bookman Old Style" w:cstheme="majorBidi"/>
          <w:b/>
          <w:bCs/>
          <w:color w:val="000000" w:themeColor="text1"/>
          <w:spacing w:val="-10"/>
          <w:kern w:val="28"/>
        </w:rPr>
        <w:t>Final Words</w:t>
      </w:r>
    </w:p>
    <w:p w14:paraId="31BDC0BD" w14:textId="78456D40"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r w:rsidRPr="00912BBF">
        <w:rPr>
          <w:rFonts w:ascii="Bookman Old Style" w:eastAsiaTheme="majorEastAsia" w:hAnsi="Bookman Old Style" w:cstheme="majorBidi"/>
          <w:color w:val="000000" w:themeColor="text1"/>
          <w:spacing w:val="-10"/>
          <w:kern w:val="28"/>
        </w:rPr>
        <w:t>Cultural Impact Assessments are not merely supplementary reports; they are transformative tools that challenge the justice system to confront its role in perpetuating racial inequities. By echoing the voices and experiences of marginalized offenders, CIAs enable courts to move beyond punitive paradigms and toward sentences that are truly just. Defence counsel should proactively commission these assessments in all cases involving racialized offenders, ensuring that systemic context is never omitted from the calculus of justice.</w:t>
      </w:r>
    </w:p>
    <w:p w14:paraId="5797DF63" w14:textId="77777777" w:rsidR="00FC7AA6" w:rsidRPr="00912BBF" w:rsidRDefault="00FC7AA6" w:rsidP="00912BBF">
      <w:pPr>
        <w:spacing w:line="276" w:lineRule="auto"/>
        <w:jc w:val="both"/>
        <w:rPr>
          <w:rFonts w:ascii="Bookman Old Style" w:eastAsiaTheme="majorEastAsia" w:hAnsi="Bookman Old Style" w:cstheme="majorBidi"/>
          <w:color w:val="000000" w:themeColor="text1"/>
          <w:spacing w:val="-10"/>
          <w:kern w:val="28"/>
        </w:rPr>
      </w:pPr>
    </w:p>
    <w:p w14:paraId="7589CCDA" w14:textId="75992BAA" w:rsidR="008F46FF" w:rsidRPr="008F46FF" w:rsidRDefault="008F46FF" w:rsidP="00060919">
      <w:pPr>
        <w:spacing w:line="276" w:lineRule="auto"/>
        <w:rPr>
          <w:rFonts w:ascii="Bookman Old Style" w:eastAsiaTheme="majorEastAsia" w:hAnsi="Bookman Old Style" w:cstheme="majorBidi"/>
          <w:b/>
          <w:bCs/>
          <w:i/>
          <w:iCs/>
          <w:color w:val="000000" w:themeColor="text1"/>
          <w:spacing w:val="-10"/>
          <w:kern w:val="28"/>
        </w:rPr>
      </w:pPr>
    </w:p>
    <w:sectPr w:rsidR="008F46FF" w:rsidRPr="008F46FF">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18CC" w14:textId="77777777" w:rsidR="00CA6225" w:rsidRDefault="00CA6225" w:rsidP="003D4FEC">
      <w:r>
        <w:separator/>
      </w:r>
    </w:p>
  </w:endnote>
  <w:endnote w:type="continuationSeparator" w:id="0">
    <w:p w14:paraId="01515CB6" w14:textId="77777777" w:rsidR="00CA6225" w:rsidRDefault="00CA6225" w:rsidP="003D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3614183"/>
      <w:docPartObj>
        <w:docPartGallery w:val="Page Numbers (Bottom of Page)"/>
        <w:docPartUnique/>
      </w:docPartObj>
    </w:sdtPr>
    <w:sdtContent>
      <w:p w14:paraId="7E6B8B65" w14:textId="7D466E29" w:rsidR="00456148" w:rsidRDefault="00456148" w:rsidP="008A1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D18B8D" w14:textId="77777777" w:rsidR="00456148" w:rsidRDefault="00456148" w:rsidP="00456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901641"/>
      <w:docPartObj>
        <w:docPartGallery w:val="Page Numbers (Bottom of Page)"/>
        <w:docPartUnique/>
      </w:docPartObj>
    </w:sdtPr>
    <w:sdtContent>
      <w:p w14:paraId="7193AD07" w14:textId="7F4CE885" w:rsidR="00456148" w:rsidRDefault="00456148" w:rsidP="008A1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sdtContent>
  </w:sdt>
  <w:p w14:paraId="71B6F71B" w14:textId="37C5E91B" w:rsidR="00675B77" w:rsidRDefault="00675B77" w:rsidP="00456148">
    <w:pPr>
      <w:pStyle w:val="Footer"/>
      <w:ind w:right="360"/>
    </w:pPr>
    <w:r>
      <w:t>BLACK LEGAL ACTION CENTRE</w:t>
    </w:r>
    <w:r w:rsidR="00FA04DE">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EAB6" w14:textId="77777777" w:rsidR="00CA6225" w:rsidRDefault="00CA6225" w:rsidP="003D4FEC">
      <w:r>
        <w:separator/>
      </w:r>
    </w:p>
  </w:footnote>
  <w:footnote w:type="continuationSeparator" w:id="0">
    <w:p w14:paraId="01E0BFCA" w14:textId="77777777" w:rsidR="00CA6225" w:rsidRDefault="00CA6225" w:rsidP="003D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368"/>
    <w:multiLevelType w:val="multilevel"/>
    <w:tmpl w:val="06C638BC"/>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13A83"/>
    <w:multiLevelType w:val="multilevel"/>
    <w:tmpl w:val="F8266D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913A5"/>
    <w:multiLevelType w:val="multilevel"/>
    <w:tmpl w:val="B7A8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53816"/>
    <w:multiLevelType w:val="multilevel"/>
    <w:tmpl w:val="062ADE8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C2487"/>
    <w:multiLevelType w:val="hybridMultilevel"/>
    <w:tmpl w:val="EEBE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B45C8"/>
    <w:multiLevelType w:val="multilevel"/>
    <w:tmpl w:val="87A67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E203F"/>
    <w:multiLevelType w:val="hybridMultilevel"/>
    <w:tmpl w:val="9A10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313A4"/>
    <w:multiLevelType w:val="multilevel"/>
    <w:tmpl w:val="4D7C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A3FEA"/>
    <w:multiLevelType w:val="multilevel"/>
    <w:tmpl w:val="C04CC088"/>
    <w:lvl w:ilvl="0">
      <w:start w:val="6"/>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B64E1"/>
    <w:multiLevelType w:val="hybridMultilevel"/>
    <w:tmpl w:val="D66225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C66564"/>
    <w:multiLevelType w:val="hybridMultilevel"/>
    <w:tmpl w:val="132E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63D34"/>
    <w:multiLevelType w:val="multilevel"/>
    <w:tmpl w:val="6ACC9E36"/>
    <w:lvl w:ilvl="0">
      <w:start w:val="1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2"/>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FC1CB3"/>
    <w:multiLevelType w:val="multilevel"/>
    <w:tmpl w:val="E85837E2"/>
    <w:lvl w:ilvl="0">
      <w:start w:val="1"/>
      <w:numFmt w:val="lowerRoman"/>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968FF"/>
    <w:multiLevelType w:val="multilevel"/>
    <w:tmpl w:val="A54A9864"/>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17AE1EE6"/>
    <w:multiLevelType w:val="hybridMultilevel"/>
    <w:tmpl w:val="37E2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601B41"/>
    <w:multiLevelType w:val="multilevel"/>
    <w:tmpl w:val="956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282914"/>
    <w:multiLevelType w:val="multilevel"/>
    <w:tmpl w:val="2FEE2E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DE49E8"/>
    <w:multiLevelType w:val="multilevel"/>
    <w:tmpl w:val="FD24E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8A004F"/>
    <w:multiLevelType w:val="multilevel"/>
    <w:tmpl w:val="0DFCB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A46D18"/>
    <w:multiLevelType w:val="multilevel"/>
    <w:tmpl w:val="1B9A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DC5ABE"/>
    <w:multiLevelType w:val="multilevel"/>
    <w:tmpl w:val="E208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C56BCB"/>
    <w:multiLevelType w:val="multilevel"/>
    <w:tmpl w:val="1C6A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842454"/>
    <w:multiLevelType w:val="hybridMultilevel"/>
    <w:tmpl w:val="D25A69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965679"/>
    <w:multiLevelType w:val="hybridMultilevel"/>
    <w:tmpl w:val="2BBAFA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716A7"/>
    <w:multiLevelType w:val="multilevel"/>
    <w:tmpl w:val="78EA2F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302AA3"/>
    <w:multiLevelType w:val="multilevel"/>
    <w:tmpl w:val="C0F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C64BE9"/>
    <w:multiLevelType w:val="multilevel"/>
    <w:tmpl w:val="F0AEC370"/>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16AFD"/>
    <w:multiLevelType w:val="hybridMultilevel"/>
    <w:tmpl w:val="8C74D6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23240D"/>
    <w:multiLevelType w:val="multilevel"/>
    <w:tmpl w:val="BA76E220"/>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092B3D"/>
    <w:multiLevelType w:val="multilevel"/>
    <w:tmpl w:val="03123856"/>
    <w:lvl w:ilvl="0">
      <w:start w:val="12"/>
      <w:numFmt w:val="decimal"/>
      <w:lvlText w:val="%1."/>
      <w:lvlJc w:val="left"/>
      <w:pPr>
        <w:tabs>
          <w:tab w:val="num" w:pos="872"/>
        </w:tabs>
        <w:ind w:left="872" w:hanging="360"/>
      </w:pPr>
    </w:lvl>
    <w:lvl w:ilvl="1" w:tentative="1">
      <w:start w:val="1"/>
      <w:numFmt w:val="decimal"/>
      <w:lvlText w:val="%2."/>
      <w:lvlJc w:val="left"/>
      <w:pPr>
        <w:tabs>
          <w:tab w:val="num" w:pos="1592"/>
        </w:tabs>
        <w:ind w:left="1592" w:hanging="360"/>
      </w:pPr>
    </w:lvl>
    <w:lvl w:ilvl="2" w:tentative="1">
      <w:start w:val="1"/>
      <w:numFmt w:val="decimal"/>
      <w:lvlText w:val="%3."/>
      <w:lvlJc w:val="left"/>
      <w:pPr>
        <w:tabs>
          <w:tab w:val="num" w:pos="2312"/>
        </w:tabs>
        <w:ind w:left="2312" w:hanging="360"/>
      </w:pPr>
    </w:lvl>
    <w:lvl w:ilvl="3" w:tentative="1">
      <w:start w:val="1"/>
      <w:numFmt w:val="decimal"/>
      <w:lvlText w:val="%4."/>
      <w:lvlJc w:val="left"/>
      <w:pPr>
        <w:tabs>
          <w:tab w:val="num" w:pos="3032"/>
        </w:tabs>
        <w:ind w:left="3032" w:hanging="360"/>
      </w:pPr>
    </w:lvl>
    <w:lvl w:ilvl="4" w:tentative="1">
      <w:start w:val="1"/>
      <w:numFmt w:val="decimal"/>
      <w:lvlText w:val="%5."/>
      <w:lvlJc w:val="left"/>
      <w:pPr>
        <w:tabs>
          <w:tab w:val="num" w:pos="3752"/>
        </w:tabs>
        <w:ind w:left="3752" w:hanging="360"/>
      </w:pPr>
    </w:lvl>
    <w:lvl w:ilvl="5" w:tentative="1">
      <w:start w:val="1"/>
      <w:numFmt w:val="decimal"/>
      <w:lvlText w:val="%6."/>
      <w:lvlJc w:val="left"/>
      <w:pPr>
        <w:tabs>
          <w:tab w:val="num" w:pos="4472"/>
        </w:tabs>
        <w:ind w:left="4472" w:hanging="360"/>
      </w:pPr>
    </w:lvl>
    <w:lvl w:ilvl="6" w:tentative="1">
      <w:start w:val="1"/>
      <w:numFmt w:val="decimal"/>
      <w:lvlText w:val="%7."/>
      <w:lvlJc w:val="left"/>
      <w:pPr>
        <w:tabs>
          <w:tab w:val="num" w:pos="5192"/>
        </w:tabs>
        <w:ind w:left="5192" w:hanging="360"/>
      </w:pPr>
    </w:lvl>
    <w:lvl w:ilvl="7" w:tentative="1">
      <w:start w:val="1"/>
      <w:numFmt w:val="decimal"/>
      <w:lvlText w:val="%8."/>
      <w:lvlJc w:val="left"/>
      <w:pPr>
        <w:tabs>
          <w:tab w:val="num" w:pos="5912"/>
        </w:tabs>
        <w:ind w:left="5912" w:hanging="360"/>
      </w:pPr>
    </w:lvl>
    <w:lvl w:ilvl="8" w:tentative="1">
      <w:start w:val="1"/>
      <w:numFmt w:val="decimal"/>
      <w:lvlText w:val="%9."/>
      <w:lvlJc w:val="left"/>
      <w:pPr>
        <w:tabs>
          <w:tab w:val="num" w:pos="6632"/>
        </w:tabs>
        <w:ind w:left="6632" w:hanging="360"/>
      </w:pPr>
    </w:lvl>
  </w:abstractNum>
  <w:abstractNum w:abstractNumId="30" w15:restartNumberingAfterBreak="0">
    <w:nsid w:val="36243377"/>
    <w:multiLevelType w:val="multilevel"/>
    <w:tmpl w:val="126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8939F5"/>
    <w:multiLevelType w:val="multilevel"/>
    <w:tmpl w:val="3B12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975F75"/>
    <w:multiLevelType w:val="multilevel"/>
    <w:tmpl w:val="BCC6AF26"/>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A14B6B"/>
    <w:multiLevelType w:val="multilevel"/>
    <w:tmpl w:val="F4B084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F31828"/>
    <w:multiLevelType w:val="multilevel"/>
    <w:tmpl w:val="EC46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FE2A2E"/>
    <w:multiLevelType w:val="multilevel"/>
    <w:tmpl w:val="D654D8AE"/>
    <w:lvl w:ilvl="0">
      <w:start w:val="7"/>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8431D5"/>
    <w:multiLevelType w:val="multilevel"/>
    <w:tmpl w:val="FAA63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ED0C3E"/>
    <w:multiLevelType w:val="multilevel"/>
    <w:tmpl w:val="B22484FE"/>
    <w:lvl w:ilvl="0">
      <w:start w:val="1"/>
      <w:numFmt w:val="lowerRoman"/>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CC10AB"/>
    <w:multiLevelType w:val="multilevel"/>
    <w:tmpl w:val="B8308D3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02084E"/>
    <w:multiLevelType w:val="multilevel"/>
    <w:tmpl w:val="6F4C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172976"/>
    <w:multiLevelType w:val="hybridMultilevel"/>
    <w:tmpl w:val="873A33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3E19FD"/>
    <w:multiLevelType w:val="multilevel"/>
    <w:tmpl w:val="5B4A8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674B78"/>
    <w:multiLevelType w:val="multilevel"/>
    <w:tmpl w:val="375E970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B24609"/>
    <w:multiLevelType w:val="multilevel"/>
    <w:tmpl w:val="1FAA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6230B5"/>
    <w:multiLevelType w:val="multilevel"/>
    <w:tmpl w:val="89CA87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241E55"/>
    <w:multiLevelType w:val="hybridMultilevel"/>
    <w:tmpl w:val="E2DA4BD4"/>
    <w:lvl w:ilvl="0" w:tplc="17CA20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9167818"/>
    <w:multiLevelType w:val="hybridMultilevel"/>
    <w:tmpl w:val="E55484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96A7FB6"/>
    <w:multiLevelType w:val="multilevel"/>
    <w:tmpl w:val="4544BAE4"/>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051B81"/>
    <w:multiLevelType w:val="multilevel"/>
    <w:tmpl w:val="377CFEA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406C3C"/>
    <w:multiLevelType w:val="hybridMultilevel"/>
    <w:tmpl w:val="2F2E63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CDF1F2E"/>
    <w:multiLevelType w:val="multilevel"/>
    <w:tmpl w:val="A058D3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7C256A"/>
    <w:multiLevelType w:val="hybridMultilevel"/>
    <w:tmpl w:val="0FF4587E"/>
    <w:lvl w:ilvl="0" w:tplc="B55AC12A">
      <w:start w:val="1"/>
      <w:numFmt w:val="lowerLetter"/>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F811E94"/>
    <w:multiLevelType w:val="multilevel"/>
    <w:tmpl w:val="B94A03A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D5454F"/>
    <w:multiLevelType w:val="multilevel"/>
    <w:tmpl w:val="44C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1F7361"/>
    <w:multiLevelType w:val="multilevel"/>
    <w:tmpl w:val="4840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BF35CD"/>
    <w:multiLevelType w:val="multilevel"/>
    <w:tmpl w:val="84C0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900BDD"/>
    <w:multiLevelType w:val="multilevel"/>
    <w:tmpl w:val="A9A839E6"/>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82274D"/>
    <w:multiLevelType w:val="hybridMultilevel"/>
    <w:tmpl w:val="CAEC5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B1401C"/>
    <w:multiLevelType w:val="multilevel"/>
    <w:tmpl w:val="83F6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E27C89"/>
    <w:multiLevelType w:val="hybridMultilevel"/>
    <w:tmpl w:val="B64AE3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D8B35C2"/>
    <w:multiLevelType w:val="hybridMultilevel"/>
    <w:tmpl w:val="2F4AB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BA2075"/>
    <w:multiLevelType w:val="hybridMultilevel"/>
    <w:tmpl w:val="DB4A23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FE8593E"/>
    <w:multiLevelType w:val="hybridMultilevel"/>
    <w:tmpl w:val="D05A93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5517CDC"/>
    <w:multiLevelType w:val="hybridMultilevel"/>
    <w:tmpl w:val="6A4A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FD0935"/>
    <w:multiLevelType w:val="hybridMultilevel"/>
    <w:tmpl w:val="B2C8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1061DE"/>
    <w:multiLevelType w:val="multilevel"/>
    <w:tmpl w:val="BCE4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E43614"/>
    <w:multiLevelType w:val="hybridMultilevel"/>
    <w:tmpl w:val="E81E5F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DC848A2">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C065C5"/>
    <w:multiLevelType w:val="multilevel"/>
    <w:tmpl w:val="10500B20"/>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C224FE"/>
    <w:multiLevelType w:val="multilevel"/>
    <w:tmpl w:val="CEBC7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ED6F22"/>
    <w:multiLevelType w:val="hybridMultilevel"/>
    <w:tmpl w:val="8096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027161">
    <w:abstractNumId w:val="30"/>
  </w:num>
  <w:num w:numId="2" w16cid:durableId="1537818395">
    <w:abstractNumId w:val="58"/>
  </w:num>
  <w:num w:numId="3" w16cid:durableId="915168369">
    <w:abstractNumId w:val="32"/>
  </w:num>
  <w:num w:numId="4" w16cid:durableId="138545314">
    <w:abstractNumId w:val="26"/>
  </w:num>
  <w:num w:numId="5" w16cid:durableId="125197624">
    <w:abstractNumId w:val="47"/>
  </w:num>
  <w:num w:numId="6" w16cid:durableId="1298992428">
    <w:abstractNumId w:val="3"/>
  </w:num>
  <w:num w:numId="7" w16cid:durableId="404954337">
    <w:abstractNumId w:val="5"/>
  </w:num>
  <w:num w:numId="8" w16cid:durableId="91631466">
    <w:abstractNumId w:val="8"/>
  </w:num>
  <w:num w:numId="9" w16cid:durableId="239291664">
    <w:abstractNumId w:val="35"/>
  </w:num>
  <w:num w:numId="10" w16cid:durableId="1353801164">
    <w:abstractNumId w:val="13"/>
  </w:num>
  <w:num w:numId="11" w16cid:durableId="1135368188">
    <w:abstractNumId w:val="29"/>
  </w:num>
  <w:num w:numId="12" w16cid:durableId="2012677886">
    <w:abstractNumId w:val="11"/>
  </w:num>
  <w:num w:numId="13" w16cid:durableId="938684360">
    <w:abstractNumId w:val="51"/>
  </w:num>
  <w:num w:numId="14" w16cid:durableId="1295672611">
    <w:abstractNumId w:val="0"/>
  </w:num>
  <w:num w:numId="15" w16cid:durableId="864556306">
    <w:abstractNumId w:val="37"/>
  </w:num>
  <w:num w:numId="16" w16cid:durableId="1514612130">
    <w:abstractNumId w:val="12"/>
  </w:num>
  <w:num w:numId="17" w16cid:durableId="1618829214">
    <w:abstractNumId w:val="7"/>
  </w:num>
  <w:num w:numId="18" w16cid:durableId="1412044855">
    <w:abstractNumId w:val="15"/>
  </w:num>
  <w:num w:numId="19" w16cid:durableId="1844127177">
    <w:abstractNumId w:val="31"/>
  </w:num>
  <w:num w:numId="20" w16cid:durableId="1568875885">
    <w:abstractNumId w:val="39"/>
  </w:num>
  <w:num w:numId="21" w16cid:durableId="512039987">
    <w:abstractNumId w:val="2"/>
  </w:num>
  <w:num w:numId="22" w16cid:durableId="987784746">
    <w:abstractNumId w:val="16"/>
  </w:num>
  <w:num w:numId="23" w16cid:durableId="1694185769">
    <w:abstractNumId w:val="24"/>
  </w:num>
  <w:num w:numId="24" w16cid:durableId="1338458804">
    <w:abstractNumId w:val="1"/>
  </w:num>
  <w:num w:numId="25" w16cid:durableId="98988949">
    <w:abstractNumId w:val="33"/>
  </w:num>
  <w:num w:numId="26" w16cid:durableId="1615209102">
    <w:abstractNumId w:val="50"/>
  </w:num>
  <w:num w:numId="27" w16cid:durableId="1098061998">
    <w:abstractNumId w:val="44"/>
  </w:num>
  <w:num w:numId="28" w16cid:durableId="1105493916">
    <w:abstractNumId w:val="56"/>
  </w:num>
  <w:num w:numId="29" w16cid:durableId="1313176995">
    <w:abstractNumId w:val="68"/>
  </w:num>
  <w:num w:numId="30" w16cid:durableId="1591163738">
    <w:abstractNumId w:val="17"/>
  </w:num>
  <w:num w:numId="31" w16cid:durableId="738554975">
    <w:abstractNumId w:val="23"/>
  </w:num>
  <w:num w:numId="32" w16cid:durableId="2027830676">
    <w:abstractNumId w:val="65"/>
  </w:num>
  <w:num w:numId="33" w16cid:durableId="890919852">
    <w:abstractNumId w:val="19"/>
  </w:num>
  <w:num w:numId="34" w16cid:durableId="1936207860">
    <w:abstractNumId w:val="20"/>
  </w:num>
  <w:num w:numId="35" w16cid:durableId="2128156645">
    <w:abstractNumId w:val="55"/>
  </w:num>
  <w:num w:numId="36" w16cid:durableId="510529530">
    <w:abstractNumId w:val="54"/>
  </w:num>
  <w:num w:numId="37" w16cid:durableId="667442115">
    <w:abstractNumId w:val="25"/>
  </w:num>
  <w:num w:numId="38" w16cid:durableId="17434607">
    <w:abstractNumId w:val="21"/>
  </w:num>
  <w:num w:numId="39" w16cid:durableId="505093985">
    <w:abstractNumId w:val="6"/>
  </w:num>
  <w:num w:numId="40" w16cid:durableId="788403331">
    <w:abstractNumId w:val="36"/>
  </w:num>
  <w:num w:numId="41" w16cid:durableId="1996564991">
    <w:abstractNumId w:val="18"/>
  </w:num>
  <w:num w:numId="42" w16cid:durableId="805006020">
    <w:abstractNumId w:val="41"/>
  </w:num>
  <w:num w:numId="43" w16cid:durableId="322439777">
    <w:abstractNumId w:val="38"/>
  </w:num>
  <w:num w:numId="44" w16cid:durableId="2042850915">
    <w:abstractNumId w:val="42"/>
  </w:num>
  <w:num w:numId="45" w16cid:durableId="55209400">
    <w:abstractNumId w:val="67"/>
  </w:num>
  <w:num w:numId="46" w16cid:durableId="957569015">
    <w:abstractNumId w:val="52"/>
  </w:num>
  <w:num w:numId="47" w16cid:durableId="1010332702">
    <w:abstractNumId w:val="66"/>
  </w:num>
  <w:num w:numId="48" w16cid:durableId="1380084571">
    <w:abstractNumId w:val="48"/>
  </w:num>
  <w:num w:numId="49" w16cid:durableId="1991516811">
    <w:abstractNumId w:val="57"/>
  </w:num>
  <w:num w:numId="50" w16cid:durableId="2084064483">
    <w:abstractNumId w:val="63"/>
  </w:num>
  <w:num w:numId="51" w16cid:durableId="2085445055">
    <w:abstractNumId w:val="34"/>
  </w:num>
  <w:num w:numId="52" w16cid:durableId="2017266827">
    <w:abstractNumId w:val="28"/>
  </w:num>
  <w:num w:numId="53" w16cid:durableId="1963950050">
    <w:abstractNumId w:val="53"/>
  </w:num>
  <w:num w:numId="54" w16cid:durableId="706683708">
    <w:abstractNumId w:val="43"/>
  </w:num>
  <w:num w:numId="55" w16cid:durableId="43607824">
    <w:abstractNumId w:val="22"/>
  </w:num>
  <w:num w:numId="56" w16cid:durableId="1983342711">
    <w:abstractNumId w:val="62"/>
  </w:num>
  <w:num w:numId="57" w16cid:durableId="1119180849">
    <w:abstractNumId w:val="45"/>
  </w:num>
  <w:num w:numId="58" w16cid:durableId="186258314">
    <w:abstractNumId w:val="46"/>
  </w:num>
  <w:num w:numId="59" w16cid:durableId="507528582">
    <w:abstractNumId w:val="59"/>
  </w:num>
  <w:num w:numId="60" w16cid:durableId="810173737">
    <w:abstractNumId w:val="61"/>
  </w:num>
  <w:num w:numId="61" w16cid:durableId="1007946146">
    <w:abstractNumId w:val="40"/>
  </w:num>
  <w:num w:numId="62" w16cid:durableId="684940628">
    <w:abstractNumId w:val="14"/>
  </w:num>
  <w:num w:numId="63" w16cid:durableId="1086876426">
    <w:abstractNumId w:val="27"/>
  </w:num>
  <w:num w:numId="64" w16cid:durableId="914362472">
    <w:abstractNumId w:val="4"/>
  </w:num>
  <w:num w:numId="65" w16cid:durableId="425536898">
    <w:abstractNumId w:val="10"/>
  </w:num>
  <w:num w:numId="66" w16cid:durableId="1482231340">
    <w:abstractNumId w:val="49"/>
  </w:num>
  <w:num w:numId="67" w16cid:durableId="640575785">
    <w:abstractNumId w:val="9"/>
  </w:num>
  <w:num w:numId="68" w16cid:durableId="515123619">
    <w:abstractNumId w:val="69"/>
  </w:num>
  <w:num w:numId="69" w16cid:durableId="57437854">
    <w:abstractNumId w:val="64"/>
  </w:num>
  <w:num w:numId="70" w16cid:durableId="339965668">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0C"/>
    <w:rsid w:val="00020F92"/>
    <w:rsid w:val="00027B87"/>
    <w:rsid w:val="00060919"/>
    <w:rsid w:val="000B68AB"/>
    <w:rsid w:val="000C2277"/>
    <w:rsid w:val="000F6AAF"/>
    <w:rsid w:val="00123F0C"/>
    <w:rsid w:val="0013296A"/>
    <w:rsid w:val="00134B54"/>
    <w:rsid w:val="001638C6"/>
    <w:rsid w:val="00193926"/>
    <w:rsid w:val="001A585A"/>
    <w:rsid w:val="001D0969"/>
    <w:rsid w:val="001E48B4"/>
    <w:rsid w:val="00232AFB"/>
    <w:rsid w:val="00235E61"/>
    <w:rsid w:val="00297DDC"/>
    <w:rsid w:val="002B7ECC"/>
    <w:rsid w:val="002C5372"/>
    <w:rsid w:val="002F3978"/>
    <w:rsid w:val="002F545C"/>
    <w:rsid w:val="003041B6"/>
    <w:rsid w:val="00324C4F"/>
    <w:rsid w:val="00332F71"/>
    <w:rsid w:val="0037433A"/>
    <w:rsid w:val="003C66FB"/>
    <w:rsid w:val="003D4FEC"/>
    <w:rsid w:val="003D56C7"/>
    <w:rsid w:val="003E614D"/>
    <w:rsid w:val="004109A2"/>
    <w:rsid w:val="00414EFB"/>
    <w:rsid w:val="00432A6F"/>
    <w:rsid w:val="0044341A"/>
    <w:rsid w:val="00456148"/>
    <w:rsid w:val="0046746B"/>
    <w:rsid w:val="00485966"/>
    <w:rsid w:val="004A6499"/>
    <w:rsid w:val="004B0D8E"/>
    <w:rsid w:val="00531E5B"/>
    <w:rsid w:val="005D5C99"/>
    <w:rsid w:val="005D7FC9"/>
    <w:rsid w:val="005E190B"/>
    <w:rsid w:val="006215E1"/>
    <w:rsid w:val="00675B77"/>
    <w:rsid w:val="006B11E7"/>
    <w:rsid w:val="006D0F7B"/>
    <w:rsid w:val="00724B16"/>
    <w:rsid w:val="0072621D"/>
    <w:rsid w:val="00726605"/>
    <w:rsid w:val="007745CF"/>
    <w:rsid w:val="007761A5"/>
    <w:rsid w:val="007761E4"/>
    <w:rsid w:val="008025E9"/>
    <w:rsid w:val="00812AC6"/>
    <w:rsid w:val="00823E8B"/>
    <w:rsid w:val="0088039D"/>
    <w:rsid w:val="00881834"/>
    <w:rsid w:val="008A0BC7"/>
    <w:rsid w:val="008D0113"/>
    <w:rsid w:val="008D395E"/>
    <w:rsid w:val="008F1E51"/>
    <w:rsid w:val="008F46FF"/>
    <w:rsid w:val="008F5198"/>
    <w:rsid w:val="00912BBF"/>
    <w:rsid w:val="00915D97"/>
    <w:rsid w:val="00921B49"/>
    <w:rsid w:val="00927A0C"/>
    <w:rsid w:val="009E316B"/>
    <w:rsid w:val="00A37624"/>
    <w:rsid w:val="00A53E47"/>
    <w:rsid w:val="00A819D3"/>
    <w:rsid w:val="00A9254E"/>
    <w:rsid w:val="00AA1603"/>
    <w:rsid w:val="00AB5147"/>
    <w:rsid w:val="00B27C9E"/>
    <w:rsid w:val="00B463FF"/>
    <w:rsid w:val="00B711C5"/>
    <w:rsid w:val="00BD5502"/>
    <w:rsid w:val="00BF595D"/>
    <w:rsid w:val="00C84AA4"/>
    <w:rsid w:val="00C907FB"/>
    <w:rsid w:val="00C9507B"/>
    <w:rsid w:val="00CA5971"/>
    <w:rsid w:val="00CA6225"/>
    <w:rsid w:val="00D2649F"/>
    <w:rsid w:val="00D3469A"/>
    <w:rsid w:val="00D4058F"/>
    <w:rsid w:val="00D5329D"/>
    <w:rsid w:val="00D874DB"/>
    <w:rsid w:val="00D931BC"/>
    <w:rsid w:val="00DA148C"/>
    <w:rsid w:val="00E632F1"/>
    <w:rsid w:val="00EA7F0E"/>
    <w:rsid w:val="00EE4DD6"/>
    <w:rsid w:val="00F1619F"/>
    <w:rsid w:val="00F16A80"/>
    <w:rsid w:val="00F50CF9"/>
    <w:rsid w:val="00FA04DE"/>
    <w:rsid w:val="00FA65A4"/>
    <w:rsid w:val="00FC33FB"/>
    <w:rsid w:val="00FC7AA6"/>
    <w:rsid w:val="00FF4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50C7"/>
  <w15:chartTrackingRefBased/>
  <w15:docId w15:val="{FEDE0539-4C01-3849-BBB2-DDCB6BBB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7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7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7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A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A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A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A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7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7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7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A0C"/>
    <w:rPr>
      <w:rFonts w:eastAsiaTheme="majorEastAsia" w:cstheme="majorBidi"/>
      <w:color w:val="272727" w:themeColor="text1" w:themeTint="D8"/>
    </w:rPr>
  </w:style>
  <w:style w:type="paragraph" w:styleId="Title">
    <w:name w:val="Title"/>
    <w:basedOn w:val="Normal"/>
    <w:next w:val="Normal"/>
    <w:link w:val="TitleChar"/>
    <w:uiPriority w:val="10"/>
    <w:qFormat/>
    <w:rsid w:val="00927A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A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A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7A0C"/>
    <w:rPr>
      <w:i/>
      <w:iCs/>
      <w:color w:val="404040" w:themeColor="text1" w:themeTint="BF"/>
    </w:rPr>
  </w:style>
  <w:style w:type="paragraph" w:styleId="ListParagraph">
    <w:name w:val="List Paragraph"/>
    <w:basedOn w:val="Normal"/>
    <w:uiPriority w:val="34"/>
    <w:qFormat/>
    <w:rsid w:val="00927A0C"/>
    <w:pPr>
      <w:ind w:left="720"/>
      <w:contextualSpacing/>
    </w:pPr>
  </w:style>
  <w:style w:type="character" w:styleId="IntenseEmphasis">
    <w:name w:val="Intense Emphasis"/>
    <w:basedOn w:val="DefaultParagraphFont"/>
    <w:uiPriority w:val="21"/>
    <w:qFormat/>
    <w:rsid w:val="00927A0C"/>
    <w:rPr>
      <w:i/>
      <w:iCs/>
      <w:color w:val="0F4761" w:themeColor="accent1" w:themeShade="BF"/>
    </w:rPr>
  </w:style>
  <w:style w:type="paragraph" w:styleId="IntenseQuote">
    <w:name w:val="Intense Quote"/>
    <w:basedOn w:val="Normal"/>
    <w:next w:val="Normal"/>
    <w:link w:val="IntenseQuoteChar"/>
    <w:uiPriority w:val="30"/>
    <w:qFormat/>
    <w:rsid w:val="00927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A0C"/>
    <w:rPr>
      <w:i/>
      <w:iCs/>
      <w:color w:val="0F4761" w:themeColor="accent1" w:themeShade="BF"/>
    </w:rPr>
  </w:style>
  <w:style w:type="character" w:styleId="IntenseReference">
    <w:name w:val="Intense Reference"/>
    <w:basedOn w:val="DefaultParagraphFont"/>
    <w:uiPriority w:val="32"/>
    <w:qFormat/>
    <w:rsid w:val="00927A0C"/>
    <w:rPr>
      <w:b/>
      <w:bCs/>
      <w:smallCaps/>
      <w:color w:val="0F4761" w:themeColor="accent1" w:themeShade="BF"/>
      <w:spacing w:val="5"/>
    </w:rPr>
  </w:style>
  <w:style w:type="paragraph" w:styleId="NoSpacing">
    <w:name w:val="No Spacing"/>
    <w:uiPriority w:val="1"/>
    <w:qFormat/>
    <w:rsid w:val="00927A0C"/>
  </w:style>
  <w:style w:type="character" w:styleId="Strong">
    <w:name w:val="Strong"/>
    <w:basedOn w:val="DefaultParagraphFont"/>
    <w:uiPriority w:val="22"/>
    <w:qFormat/>
    <w:rsid w:val="002C5372"/>
    <w:rPr>
      <w:b/>
      <w:bCs/>
    </w:rPr>
  </w:style>
  <w:style w:type="character" w:styleId="Emphasis">
    <w:name w:val="Emphasis"/>
    <w:basedOn w:val="DefaultParagraphFont"/>
    <w:uiPriority w:val="20"/>
    <w:qFormat/>
    <w:rsid w:val="00134B54"/>
    <w:rPr>
      <w:i/>
      <w:iCs/>
    </w:rPr>
  </w:style>
  <w:style w:type="paragraph" w:customStyle="1" w:styleId="ds-markdown-paragraph">
    <w:name w:val="ds-markdown-paragraph"/>
    <w:basedOn w:val="Normal"/>
    <w:rsid w:val="00A37624"/>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3D4FEC"/>
    <w:rPr>
      <w:sz w:val="20"/>
      <w:szCs w:val="20"/>
    </w:rPr>
  </w:style>
  <w:style w:type="character" w:customStyle="1" w:styleId="FootnoteTextChar">
    <w:name w:val="Footnote Text Char"/>
    <w:basedOn w:val="DefaultParagraphFont"/>
    <w:link w:val="FootnoteText"/>
    <w:uiPriority w:val="99"/>
    <w:semiHidden/>
    <w:rsid w:val="003D4FEC"/>
    <w:rPr>
      <w:sz w:val="20"/>
      <w:szCs w:val="20"/>
    </w:rPr>
  </w:style>
  <w:style w:type="character" w:styleId="FootnoteReference">
    <w:name w:val="footnote reference"/>
    <w:basedOn w:val="DefaultParagraphFont"/>
    <w:uiPriority w:val="99"/>
    <w:semiHidden/>
    <w:unhideWhenUsed/>
    <w:rsid w:val="003D4FEC"/>
    <w:rPr>
      <w:vertAlign w:val="superscript"/>
    </w:rPr>
  </w:style>
  <w:style w:type="paragraph" w:styleId="NormalWeb">
    <w:name w:val="Normal (Web)"/>
    <w:basedOn w:val="Normal"/>
    <w:uiPriority w:val="99"/>
    <w:unhideWhenUsed/>
    <w:rsid w:val="00324C4F"/>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75B77"/>
    <w:pPr>
      <w:tabs>
        <w:tab w:val="center" w:pos="4513"/>
        <w:tab w:val="right" w:pos="9026"/>
      </w:tabs>
    </w:pPr>
  </w:style>
  <w:style w:type="character" w:customStyle="1" w:styleId="HeaderChar">
    <w:name w:val="Header Char"/>
    <w:basedOn w:val="DefaultParagraphFont"/>
    <w:link w:val="Header"/>
    <w:uiPriority w:val="99"/>
    <w:rsid w:val="00675B77"/>
  </w:style>
  <w:style w:type="paragraph" w:styleId="Footer">
    <w:name w:val="footer"/>
    <w:basedOn w:val="Normal"/>
    <w:link w:val="FooterChar"/>
    <w:uiPriority w:val="99"/>
    <w:unhideWhenUsed/>
    <w:rsid w:val="00675B77"/>
    <w:pPr>
      <w:tabs>
        <w:tab w:val="center" w:pos="4513"/>
        <w:tab w:val="right" w:pos="9026"/>
      </w:tabs>
    </w:pPr>
  </w:style>
  <w:style w:type="character" w:customStyle="1" w:styleId="FooterChar">
    <w:name w:val="Footer Char"/>
    <w:basedOn w:val="DefaultParagraphFont"/>
    <w:link w:val="Footer"/>
    <w:uiPriority w:val="99"/>
    <w:rsid w:val="00675B77"/>
  </w:style>
  <w:style w:type="paragraph" w:styleId="TOCHeading">
    <w:name w:val="TOC Heading"/>
    <w:basedOn w:val="Heading1"/>
    <w:next w:val="Normal"/>
    <w:uiPriority w:val="39"/>
    <w:unhideWhenUsed/>
    <w:qFormat/>
    <w:rsid w:val="00A53E47"/>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A53E47"/>
    <w:pPr>
      <w:spacing w:before="120"/>
    </w:pPr>
    <w:rPr>
      <w:b/>
      <w:bCs/>
      <w:i/>
      <w:iCs/>
    </w:rPr>
  </w:style>
  <w:style w:type="paragraph" w:styleId="TOC2">
    <w:name w:val="toc 2"/>
    <w:basedOn w:val="Normal"/>
    <w:next w:val="Normal"/>
    <w:autoRedefine/>
    <w:uiPriority w:val="39"/>
    <w:unhideWhenUsed/>
    <w:rsid w:val="00A53E47"/>
    <w:pPr>
      <w:spacing w:before="120"/>
      <w:ind w:left="240"/>
    </w:pPr>
    <w:rPr>
      <w:b/>
      <w:bCs/>
      <w:sz w:val="22"/>
      <w:szCs w:val="22"/>
    </w:rPr>
  </w:style>
  <w:style w:type="paragraph" w:styleId="TOC3">
    <w:name w:val="toc 3"/>
    <w:basedOn w:val="Normal"/>
    <w:next w:val="Normal"/>
    <w:autoRedefine/>
    <w:uiPriority w:val="39"/>
    <w:unhideWhenUsed/>
    <w:rsid w:val="00A53E47"/>
    <w:pPr>
      <w:ind w:left="480"/>
    </w:pPr>
    <w:rPr>
      <w:sz w:val="20"/>
      <w:szCs w:val="20"/>
    </w:rPr>
  </w:style>
  <w:style w:type="character" w:styleId="Hyperlink">
    <w:name w:val="Hyperlink"/>
    <w:basedOn w:val="DefaultParagraphFont"/>
    <w:uiPriority w:val="99"/>
    <w:unhideWhenUsed/>
    <w:rsid w:val="00A53E47"/>
    <w:rPr>
      <w:color w:val="467886" w:themeColor="hyperlink"/>
      <w:u w:val="single"/>
    </w:rPr>
  </w:style>
  <w:style w:type="paragraph" w:styleId="TOC4">
    <w:name w:val="toc 4"/>
    <w:basedOn w:val="Normal"/>
    <w:next w:val="Normal"/>
    <w:autoRedefine/>
    <w:uiPriority w:val="39"/>
    <w:semiHidden/>
    <w:unhideWhenUsed/>
    <w:rsid w:val="00A53E47"/>
    <w:pPr>
      <w:ind w:left="720"/>
    </w:pPr>
    <w:rPr>
      <w:sz w:val="20"/>
      <w:szCs w:val="20"/>
    </w:rPr>
  </w:style>
  <w:style w:type="paragraph" w:styleId="TOC5">
    <w:name w:val="toc 5"/>
    <w:basedOn w:val="Normal"/>
    <w:next w:val="Normal"/>
    <w:autoRedefine/>
    <w:uiPriority w:val="39"/>
    <w:semiHidden/>
    <w:unhideWhenUsed/>
    <w:rsid w:val="00A53E47"/>
    <w:pPr>
      <w:ind w:left="960"/>
    </w:pPr>
    <w:rPr>
      <w:sz w:val="20"/>
      <w:szCs w:val="20"/>
    </w:rPr>
  </w:style>
  <w:style w:type="paragraph" w:styleId="TOC6">
    <w:name w:val="toc 6"/>
    <w:basedOn w:val="Normal"/>
    <w:next w:val="Normal"/>
    <w:autoRedefine/>
    <w:uiPriority w:val="39"/>
    <w:semiHidden/>
    <w:unhideWhenUsed/>
    <w:rsid w:val="00A53E47"/>
    <w:pPr>
      <w:ind w:left="1200"/>
    </w:pPr>
    <w:rPr>
      <w:sz w:val="20"/>
      <w:szCs w:val="20"/>
    </w:rPr>
  </w:style>
  <w:style w:type="paragraph" w:styleId="TOC7">
    <w:name w:val="toc 7"/>
    <w:basedOn w:val="Normal"/>
    <w:next w:val="Normal"/>
    <w:autoRedefine/>
    <w:uiPriority w:val="39"/>
    <w:semiHidden/>
    <w:unhideWhenUsed/>
    <w:rsid w:val="00A53E47"/>
    <w:pPr>
      <w:ind w:left="1440"/>
    </w:pPr>
    <w:rPr>
      <w:sz w:val="20"/>
      <w:szCs w:val="20"/>
    </w:rPr>
  </w:style>
  <w:style w:type="paragraph" w:styleId="TOC8">
    <w:name w:val="toc 8"/>
    <w:basedOn w:val="Normal"/>
    <w:next w:val="Normal"/>
    <w:autoRedefine/>
    <w:uiPriority w:val="39"/>
    <w:semiHidden/>
    <w:unhideWhenUsed/>
    <w:rsid w:val="00A53E47"/>
    <w:pPr>
      <w:ind w:left="1680"/>
    </w:pPr>
    <w:rPr>
      <w:sz w:val="20"/>
      <w:szCs w:val="20"/>
    </w:rPr>
  </w:style>
  <w:style w:type="paragraph" w:styleId="TOC9">
    <w:name w:val="toc 9"/>
    <w:basedOn w:val="Normal"/>
    <w:next w:val="Normal"/>
    <w:autoRedefine/>
    <w:uiPriority w:val="39"/>
    <w:semiHidden/>
    <w:unhideWhenUsed/>
    <w:rsid w:val="00A53E47"/>
    <w:pPr>
      <w:ind w:left="1920"/>
    </w:pPr>
    <w:rPr>
      <w:sz w:val="20"/>
      <w:szCs w:val="20"/>
    </w:rPr>
  </w:style>
  <w:style w:type="character" w:styleId="PageNumber">
    <w:name w:val="page number"/>
    <w:basedOn w:val="DefaultParagraphFont"/>
    <w:uiPriority w:val="99"/>
    <w:semiHidden/>
    <w:unhideWhenUsed/>
    <w:rsid w:val="0045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5164">
      <w:bodyDiv w:val="1"/>
      <w:marLeft w:val="0"/>
      <w:marRight w:val="0"/>
      <w:marTop w:val="0"/>
      <w:marBottom w:val="0"/>
      <w:divBdr>
        <w:top w:val="none" w:sz="0" w:space="0" w:color="auto"/>
        <w:left w:val="none" w:sz="0" w:space="0" w:color="auto"/>
        <w:bottom w:val="none" w:sz="0" w:space="0" w:color="auto"/>
        <w:right w:val="none" w:sz="0" w:space="0" w:color="auto"/>
      </w:divBdr>
    </w:div>
    <w:div w:id="64306279">
      <w:bodyDiv w:val="1"/>
      <w:marLeft w:val="0"/>
      <w:marRight w:val="0"/>
      <w:marTop w:val="0"/>
      <w:marBottom w:val="0"/>
      <w:divBdr>
        <w:top w:val="none" w:sz="0" w:space="0" w:color="auto"/>
        <w:left w:val="none" w:sz="0" w:space="0" w:color="auto"/>
        <w:bottom w:val="none" w:sz="0" w:space="0" w:color="auto"/>
        <w:right w:val="none" w:sz="0" w:space="0" w:color="auto"/>
      </w:divBdr>
    </w:div>
    <w:div w:id="136072962">
      <w:bodyDiv w:val="1"/>
      <w:marLeft w:val="0"/>
      <w:marRight w:val="0"/>
      <w:marTop w:val="0"/>
      <w:marBottom w:val="0"/>
      <w:divBdr>
        <w:top w:val="none" w:sz="0" w:space="0" w:color="auto"/>
        <w:left w:val="none" w:sz="0" w:space="0" w:color="auto"/>
        <w:bottom w:val="none" w:sz="0" w:space="0" w:color="auto"/>
        <w:right w:val="none" w:sz="0" w:space="0" w:color="auto"/>
      </w:divBdr>
    </w:div>
    <w:div w:id="229385062">
      <w:bodyDiv w:val="1"/>
      <w:marLeft w:val="0"/>
      <w:marRight w:val="0"/>
      <w:marTop w:val="0"/>
      <w:marBottom w:val="0"/>
      <w:divBdr>
        <w:top w:val="none" w:sz="0" w:space="0" w:color="auto"/>
        <w:left w:val="none" w:sz="0" w:space="0" w:color="auto"/>
        <w:bottom w:val="none" w:sz="0" w:space="0" w:color="auto"/>
        <w:right w:val="none" w:sz="0" w:space="0" w:color="auto"/>
      </w:divBdr>
    </w:div>
    <w:div w:id="258177991">
      <w:bodyDiv w:val="1"/>
      <w:marLeft w:val="0"/>
      <w:marRight w:val="0"/>
      <w:marTop w:val="0"/>
      <w:marBottom w:val="0"/>
      <w:divBdr>
        <w:top w:val="none" w:sz="0" w:space="0" w:color="auto"/>
        <w:left w:val="none" w:sz="0" w:space="0" w:color="auto"/>
        <w:bottom w:val="none" w:sz="0" w:space="0" w:color="auto"/>
        <w:right w:val="none" w:sz="0" w:space="0" w:color="auto"/>
      </w:divBdr>
    </w:div>
    <w:div w:id="357050178">
      <w:bodyDiv w:val="1"/>
      <w:marLeft w:val="0"/>
      <w:marRight w:val="0"/>
      <w:marTop w:val="0"/>
      <w:marBottom w:val="0"/>
      <w:divBdr>
        <w:top w:val="none" w:sz="0" w:space="0" w:color="auto"/>
        <w:left w:val="none" w:sz="0" w:space="0" w:color="auto"/>
        <w:bottom w:val="none" w:sz="0" w:space="0" w:color="auto"/>
        <w:right w:val="none" w:sz="0" w:space="0" w:color="auto"/>
      </w:divBdr>
    </w:div>
    <w:div w:id="387461196">
      <w:bodyDiv w:val="1"/>
      <w:marLeft w:val="0"/>
      <w:marRight w:val="0"/>
      <w:marTop w:val="0"/>
      <w:marBottom w:val="0"/>
      <w:divBdr>
        <w:top w:val="none" w:sz="0" w:space="0" w:color="auto"/>
        <w:left w:val="none" w:sz="0" w:space="0" w:color="auto"/>
        <w:bottom w:val="none" w:sz="0" w:space="0" w:color="auto"/>
        <w:right w:val="none" w:sz="0" w:space="0" w:color="auto"/>
      </w:divBdr>
    </w:div>
    <w:div w:id="465777337">
      <w:bodyDiv w:val="1"/>
      <w:marLeft w:val="0"/>
      <w:marRight w:val="0"/>
      <w:marTop w:val="0"/>
      <w:marBottom w:val="0"/>
      <w:divBdr>
        <w:top w:val="none" w:sz="0" w:space="0" w:color="auto"/>
        <w:left w:val="none" w:sz="0" w:space="0" w:color="auto"/>
        <w:bottom w:val="none" w:sz="0" w:space="0" w:color="auto"/>
        <w:right w:val="none" w:sz="0" w:space="0" w:color="auto"/>
      </w:divBdr>
    </w:div>
    <w:div w:id="468940473">
      <w:bodyDiv w:val="1"/>
      <w:marLeft w:val="0"/>
      <w:marRight w:val="0"/>
      <w:marTop w:val="0"/>
      <w:marBottom w:val="0"/>
      <w:divBdr>
        <w:top w:val="none" w:sz="0" w:space="0" w:color="auto"/>
        <w:left w:val="none" w:sz="0" w:space="0" w:color="auto"/>
        <w:bottom w:val="none" w:sz="0" w:space="0" w:color="auto"/>
        <w:right w:val="none" w:sz="0" w:space="0" w:color="auto"/>
      </w:divBdr>
    </w:div>
    <w:div w:id="558784692">
      <w:bodyDiv w:val="1"/>
      <w:marLeft w:val="0"/>
      <w:marRight w:val="0"/>
      <w:marTop w:val="0"/>
      <w:marBottom w:val="0"/>
      <w:divBdr>
        <w:top w:val="none" w:sz="0" w:space="0" w:color="auto"/>
        <w:left w:val="none" w:sz="0" w:space="0" w:color="auto"/>
        <w:bottom w:val="none" w:sz="0" w:space="0" w:color="auto"/>
        <w:right w:val="none" w:sz="0" w:space="0" w:color="auto"/>
      </w:divBdr>
    </w:div>
    <w:div w:id="569657916">
      <w:bodyDiv w:val="1"/>
      <w:marLeft w:val="0"/>
      <w:marRight w:val="0"/>
      <w:marTop w:val="0"/>
      <w:marBottom w:val="0"/>
      <w:divBdr>
        <w:top w:val="none" w:sz="0" w:space="0" w:color="auto"/>
        <w:left w:val="none" w:sz="0" w:space="0" w:color="auto"/>
        <w:bottom w:val="none" w:sz="0" w:space="0" w:color="auto"/>
        <w:right w:val="none" w:sz="0" w:space="0" w:color="auto"/>
      </w:divBdr>
    </w:div>
    <w:div w:id="590704606">
      <w:bodyDiv w:val="1"/>
      <w:marLeft w:val="0"/>
      <w:marRight w:val="0"/>
      <w:marTop w:val="0"/>
      <w:marBottom w:val="0"/>
      <w:divBdr>
        <w:top w:val="none" w:sz="0" w:space="0" w:color="auto"/>
        <w:left w:val="none" w:sz="0" w:space="0" w:color="auto"/>
        <w:bottom w:val="none" w:sz="0" w:space="0" w:color="auto"/>
        <w:right w:val="none" w:sz="0" w:space="0" w:color="auto"/>
      </w:divBdr>
      <w:divsChild>
        <w:div w:id="223688282">
          <w:marLeft w:val="480"/>
          <w:marRight w:val="0"/>
          <w:marTop w:val="0"/>
          <w:marBottom w:val="0"/>
          <w:divBdr>
            <w:top w:val="none" w:sz="0" w:space="0" w:color="auto"/>
            <w:left w:val="none" w:sz="0" w:space="0" w:color="auto"/>
            <w:bottom w:val="none" w:sz="0" w:space="0" w:color="auto"/>
            <w:right w:val="none" w:sz="0" w:space="0" w:color="auto"/>
          </w:divBdr>
          <w:divsChild>
            <w:div w:id="3050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6319">
      <w:bodyDiv w:val="1"/>
      <w:marLeft w:val="0"/>
      <w:marRight w:val="0"/>
      <w:marTop w:val="0"/>
      <w:marBottom w:val="0"/>
      <w:divBdr>
        <w:top w:val="none" w:sz="0" w:space="0" w:color="auto"/>
        <w:left w:val="none" w:sz="0" w:space="0" w:color="auto"/>
        <w:bottom w:val="none" w:sz="0" w:space="0" w:color="auto"/>
        <w:right w:val="none" w:sz="0" w:space="0" w:color="auto"/>
      </w:divBdr>
      <w:divsChild>
        <w:div w:id="1630017520">
          <w:marLeft w:val="0"/>
          <w:marRight w:val="0"/>
          <w:marTop w:val="0"/>
          <w:marBottom w:val="0"/>
          <w:divBdr>
            <w:top w:val="none" w:sz="0" w:space="0" w:color="auto"/>
            <w:left w:val="none" w:sz="0" w:space="0" w:color="auto"/>
            <w:bottom w:val="none" w:sz="0" w:space="0" w:color="auto"/>
            <w:right w:val="none" w:sz="0" w:space="0" w:color="auto"/>
          </w:divBdr>
          <w:divsChild>
            <w:div w:id="1065180532">
              <w:marLeft w:val="0"/>
              <w:marRight w:val="0"/>
              <w:marTop w:val="0"/>
              <w:marBottom w:val="0"/>
              <w:divBdr>
                <w:top w:val="none" w:sz="0" w:space="0" w:color="auto"/>
                <w:left w:val="none" w:sz="0" w:space="0" w:color="auto"/>
                <w:bottom w:val="none" w:sz="0" w:space="0" w:color="auto"/>
                <w:right w:val="none" w:sz="0" w:space="0" w:color="auto"/>
              </w:divBdr>
            </w:div>
          </w:divsChild>
        </w:div>
        <w:div w:id="1753356958">
          <w:marLeft w:val="0"/>
          <w:marRight w:val="0"/>
          <w:marTop w:val="0"/>
          <w:marBottom w:val="0"/>
          <w:divBdr>
            <w:top w:val="none" w:sz="0" w:space="0" w:color="auto"/>
            <w:left w:val="none" w:sz="0" w:space="0" w:color="auto"/>
            <w:bottom w:val="none" w:sz="0" w:space="0" w:color="auto"/>
            <w:right w:val="none" w:sz="0" w:space="0" w:color="auto"/>
          </w:divBdr>
        </w:div>
      </w:divsChild>
    </w:div>
    <w:div w:id="711534937">
      <w:bodyDiv w:val="1"/>
      <w:marLeft w:val="0"/>
      <w:marRight w:val="0"/>
      <w:marTop w:val="0"/>
      <w:marBottom w:val="0"/>
      <w:divBdr>
        <w:top w:val="none" w:sz="0" w:space="0" w:color="auto"/>
        <w:left w:val="none" w:sz="0" w:space="0" w:color="auto"/>
        <w:bottom w:val="none" w:sz="0" w:space="0" w:color="auto"/>
        <w:right w:val="none" w:sz="0" w:space="0" w:color="auto"/>
      </w:divBdr>
    </w:div>
    <w:div w:id="775171062">
      <w:bodyDiv w:val="1"/>
      <w:marLeft w:val="0"/>
      <w:marRight w:val="0"/>
      <w:marTop w:val="0"/>
      <w:marBottom w:val="0"/>
      <w:divBdr>
        <w:top w:val="none" w:sz="0" w:space="0" w:color="auto"/>
        <w:left w:val="none" w:sz="0" w:space="0" w:color="auto"/>
        <w:bottom w:val="none" w:sz="0" w:space="0" w:color="auto"/>
        <w:right w:val="none" w:sz="0" w:space="0" w:color="auto"/>
      </w:divBdr>
      <w:divsChild>
        <w:div w:id="458303559">
          <w:marLeft w:val="480"/>
          <w:marRight w:val="0"/>
          <w:marTop w:val="0"/>
          <w:marBottom w:val="0"/>
          <w:divBdr>
            <w:top w:val="none" w:sz="0" w:space="0" w:color="auto"/>
            <w:left w:val="none" w:sz="0" w:space="0" w:color="auto"/>
            <w:bottom w:val="none" w:sz="0" w:space="0" w:color="auto"/>
            <w:right w:val="none" w:sz="0" w:space="0" w:color="auto"/>
          </w:divBdr>
          <w:divsChild>
            <w:div w:id="13994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9217">
      <w:bodyDiv w:val="1"/>
      <w:marLeft w:val="0"/>
      <w:marRight w:val="0"/>
      <w:marTop w:val="0"/>
      <w:marBottom w:val="0"/>
      <w:divBdr>
        <w:top w:val="none" w:sz="0" w:space="0" w:color="auto"/>
        <w:left w:val="none" w:sz="0" w:space="0" w:color="auto"/>
        <w:bottom w:val="none" w:sz="0" w:space="0" w:color="auto"/>
        <w:right w:val="none" w:sz="0" w:space="0" w:color="auto"/>
      </w:divBdr>
    </w:div>
    <w:div w:id="881671347">
      <w:bodyDiv w:val="1"/>
      <w:marLeft w:val="0"/>
      <w:marRight w:val="0"/>
      <w:marTop w:val="0"/>
      <w:marBottom w:val="0"/>
      <w:divBdr>
        <w:top w:val="none" w:sz="0" w:space="0" w:color="auto"/>
        <w:left w:val="none" w:sz="0" w:space="0" w:color="auto"/>
        <w:bottom w:val="none" w:sz="0" w:space="0" w:color="auto"/>
        <w:right w:val="none" w:sz="0" w:space="0" w:color="auto"/>
      </w:divBdr>
      <w:divsChild>
        <w:div w:id="1979649660">
          <w:marLeft w:val="480"/>
          <w:marRight w:val="0"/>
          <w:marTop w:val="0"/>
          <w:marBottom w:val="0"/>
          <w:divBdr>
            <w:top w:val="none" w:sz="0" w:space="0" w:color="auto"/>
            <w:left w:val="none" w:sz="0" w:space="0" w:color="auto"/>
            <w:bottom w:val="none" w:sz="0" w:space="0" w:color="auto"/>
            <w:right w:val="none" w:sz="0" w:space="0" w:color="auto"/>
          </w:divBdr>
          <w:divsChild>
            <w:div w:id="14237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293">
      <w:bodyDiv w:val="1"/>
      <w:marLeft w:val="0"/>
      <w:marRight w:val="0"/>
      <w:marTop w:val="0"/>
      <w:marBottom w:val="0"/>
      <w:divBdr>
        <w:top w:val="none" w:sz="0" w:space="0" w:color="auto"/>
        <w:left w:val="none" w:sz="0" w:space="0" w:color="auto"/>
        <w:bottom w:val="none" w:sz="0" w:space="0" w:color="auto"/>
        <w:right w:val="none" w:sz="0" w:space="0" w:color="auto"/>
      </w:divBdr>
      <w:divsChild>
        <w:div w:id="2019379674">
          <w:marLeft w:val="0"/>
          <w:marRight w:val="0"/>
          <w:marTop w:val="100"/>
          <w:marBottom w:val="100"/>
          <w:divBdr>
            <w:top w:val="none" w:sz="0" w:space="0" w:color="auto"/>
            <w:left w:val="none" w:sz="0" w:space="0" w:color="auto"/>
            <w:bottom w:val="none" w:sz="0" w:space="0" w:color="auto"/>
            <w:right w:val="none" w:sz="0" w:space="0" w:color="auto"/>
          </w:divBdr>
          <w:divsChild>
            <w:div w:id="926351777">
              <w:marLeft w:val="0"/>
              <w:marRight w:val="0"/>
              <w:marTop w:val="0"/>
              <w:marBottom w:val="0"/>
              <w:divBdr>
                <w:top w:val="none" w:sz="0" w:space="0" w:color="auto"/>
                <w:left w:val="none" w:sz="0" w:space="0" w:color="auto"/>
                <w:bottom w:val="none" w:sz="0" w:space="0" w:color="auto"/>
                <w:right w:val="none" w:sz="0" w:space="0" w:color="auto"/>
              </w:divBdr>
              <w:divsChild>
                <w:div w:id="8993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7709">
          <w:marLeft w:val="0"/>
          <w:marRight w:val="0"/>
          <w:marTop w:val="0"/>
          <w:marBottom w:val="300"/>
          <w:divBdr>
            <w:top w:val="none" w:sz="0" w:space="0" w:color="auto"/>
            <w:left w:val="none" w:sz="0" w:space="0" w:color="auto"/>
            <w:bottom w:val="none" w:sz="0" w:space="0" w:color="auto"/>
            <w:right w:val="none" w:sz="0" w:space="0" w:color="auto"/>
          </w:divBdr>
          <w:divsChild>
            <w:div w:id="12662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69461">
      <w:bodyDiv w:val="1"/>
      <w:marLeft w:val="0"/>
      <w:marRight w:val="0"/>
      <w:marTop w:val="0"/>
      <w:marBottom w:val="0"/>
      <w:divBdr>
        <w:top w:val="none" w:sz="0" w:space="0" w:color="auto"/>
        <w:left w:val="none" w:sz="0" w:space="0" w:color="auto"/>
        <w:bottom w:val="none" w:sz="0" w:space="0" w:color="auto"/>
        <w:right w:val="none" w:sz="0" w:space="0" w:color="auto"/>
      </w:divBdr>
      <w:divsChild>
        <w:div w:id="4945892">
          <w:marLeft w:val="0"/>
          <w:marRight w:val="0"/>
          <w:marTop w:val="0"/>
          <w:marBottom w:val="0"/>
          <w:divBdr>
            <w:top w:val="none" w:sz="0" w:space="0" w:color="auto"/>
            <w:left w:val="none" w:sz="0" w:space="0" w:color="auto"/>
            <w:bottom w:val="none" w:sz="0" w:space="0" w:color="auto"/>
            <w:right w:val="none" w:sz="0" w:space="0" w:color="auto"/>
          </w:divBdr>
        </w:div>
        <w:div w:id="348338482">
          <w:marLeft w:val="0"/>
          <w:marRight w:val="0"/>
          <w:marTop w:val="0"/>
          <w:marBottom w:val="0"/>
          <w:divBdr>
            <w:top w:val="none" w:sz="0" w:space="0" w:color="auto"/>
            <w:left w:val="none" w:sz="0" w:space="0" w:color="auto"/>
            <w:bottom w:val="none" w:sz="0" w:space="0" w:color="auto"/>
            <w:right w:val="none" w:sz="0" w:space="0" w:color="auto"/>
          </w:divBdr>
        </w:div>
        <w:div w:id="418411789">
          <w:marLeft w:val="0"/>
          <w:marRight w:val="0"/>
          <w:marTop w:val="0"/>
          <w:marBottom w:val="0"/>
          <w:divBdr>
            <w:top w:val="none" w:sz="0" w:space="0" w:color="auto"/>
            <w:left w:val="none" w:sz="0" w:space="0" w:color="auto"/>
            <w:bottom w:val="none" w:sz="0" w:space="0" w:color="auto"/>
            <w:right w:val="none" w:sz="0" w:space="0" w:color="auto"/>
          </w:divBdr>
        </w:div>
        <w:div w:id="2124764971">
          <w:marLeft w:val="0"/>
          <w:marRight w:val="0"/>
          <w:marTop w:val="0"/>
          <w:marBottom w:val="0"/>
          <w:divBdr>
            <w:top w:val="none" w:sz="0" w:space="0" w:color="auto"/>
            <w:left w:val="none" w:sz="0" w:space="0" w:color="auto"/>
            <w:bottom w:val="none" w:sz="0" w:space="0" w:color="auto"/>
            <w:right w:val="none" w:sz="0" w:space="0" w:color="auto"/>
          </w:divBdr>
        </w:div>
        <w:div w:id="379136654">
          <w:marLeft w:val="0"/>
          <w:marRight w:val="0"/>
          <w:marTop w:val="0"/>
          <w:marBottom w:val="0"/>
          <w:divBdr>
            <w:top w:val="none" w:sz="0" w:space="0" w:color="auto"/>
            <w:left w:val="none" w:sz="0" w:space="0" w:color="auto"/>
            <w:bottom w:val="none" w:sz="0" w:space="0" w:color="auto"/>
            <w:right w:val="none" w:sz="0" w:space="0" w:color="auto"/>
          </w:divBdr>
        </w:div>
        <w:div w:id="1755080992">
          <w:marLeft w:val="0"/>
          <w:marRight w:val="0"/>
          <w:marTop w:val="0"/>
          <w:marBottom w:val="0"/>
          <w:divBdr>
            <w:top w:val="none" w:sz="0" w:space="0" w:color="auto"/>
            <w:left w:val="none" w:sz="0" w:space="0" w:color="auto"/>
            <w:bottom w:val="none" w:sz="0" w:space="0" w:color="auto"/>
            <w:right w:val="none" w:sz="0" w:space="0" w:color="auto"/>
          </w:divBdr>
        </w:div>
        <w:div w:id="393965641">
          <w:marLeft w:val="0"/>
          <w:marRight w:val="0"/>
          <w:marTop w:val="0"/>
          <w:marBottom w:val="0"/>
          <w:divBdr>
            <w:top w:val="none" w:sz="0" w:space="0" w:color="auto"/>
            <w:left w:val="none" w:sz="0" w:space="0" w:color="auto"/>
            <w:bottom w:val="none" w:sz="0" w:space="0" w:color="auto"/>
            <w:right w:val="none" w:sz="0" w:space="0" w:color="auto"/>
          </w:divBdr>
        </w:div>
      </w:divsChild>
    </w:div>
    <w:div w:id="949355367">
      <w:bodyDiv w:val="1"/>
      <w:marLeft w:val="0"/>
      <w:marRight w:val="0"/>
      <w:marTop w:val="0"/>
      <w:marBottom w:val="0"/>
      <w:divBdr>
        <w:top w:val="none" w:sz="0" w:space="0" w:color="auto"/>
        <w:left w:val="none" w:sz="0" w:space="0" w:color="auto"/>
        <w:bottom w:val="none" w:sz="0" w:space="0" w:color="auto"/>
        <w:right w:val="none" w:sz="0" w:space="0" w:color="auto"/>
      </w:divBdr>
    </w:div>
    <w:div w:id="972323479">
      <w:bodyDiv w:val="1"/>
      <w:marLeft w:val="0"/>
      <w:marRight w:val="0"/>
      <w:marTop w:val="0"/>
      <w:marBottom w:val="0"/>
      <w:divBdr>
        <w:top w:val="none" w:sz="0" w:space="0" w:color="auto"/>
        <w:left w:val="none" w:sz="0" w:space="0" w:color="auto"/>
        <w:bottom w:val="none" w:sz="0" w:space="0" w:color="auto"/>
        <w:right w:val="none" w:sz="0" w:space="0" w:color="auto"/>
      </w:divBdr>
    </w:div>
    <w:div w:id="1000038916">
      <w:bodyDiv w:val="1"/>
      <w:marLeft w:val="0"/>
      <w:marRight w:val="0"/>
      <w:marTop w:val="0"/>
      <w:marBottom w:val="0"/>
      <w:divBdr>
        <w:top w:val="none" w:sz="0" w:space="0" w:color="auto"/>
        <w:left w:val="none" w:sz="0" w:space="0" w:color="auto"/>
        <w:bottom w:val="none" w:sz="0" w:space="0" w:color="auto"/>
        <w:right w:val="none" w:sz="0" w:space="0" w:color="auto"/>
      </w:divBdr>
    </w:div>
    <w:div w:id="1086727608">
      <w:bodyDiv w:val="1"/>
      <w:marLeft w:val="0"/>
      <w:marRight w:val="0"/>
      <w:marTop w:val="0"/>
      <w:marBottom w:val="0"/>
      <w:divBdr>
        <w:top w:val="none" w:sz="0" w:space="0" w:color="auto"/>
        <w:left w:val="none" w:sz="0" w:space="0" w:color="auto"/>
        <w:bottom w:val="none" w:sz="0" w:space="0" w:color="auto"/>
        <w:right w:val="none" w:sz="0" w:space="0" w:color="auto"/>
      </w:divBdr>
    </w:div>
    <w:div w:id="1090002837">
      <w:bodyDiv w:val="1"/>
      <w:marLeft w:val="0"/>
      <w:marRight w:val="0"/>
      <w:marTop w:val="0"/>
      <w:marBottom w:val="0"/>
      <w:divBdr>
        <w:top w:val="none" w:sz="0" w:space="0" w:color="auto"/>
        <w:left w:val="none" w:sz="0" w:space="0" w:color="auto"/>
        <w:bottom w:val="none" w:sz="0" w:space="0" w:color="auto"/>
        <w:right w:val="none" w:sz="0" w:space="0" w:color="auto"/>
      </w:divBdr>
    </w:div>
    <w:div w:id="1099527885">
      <w:bodyDiv w:val="1"/>
      <w:marLeft w:val="0"/>
      <w:marRight w:val="0"/>
      <w:marTop w:val="0"/>
      <w:marBottom w:val="0"/>
      <w:divBdr>
        <w:top w:val="none" w:sz="0" w:space="0" w:color="auto"/>
        <w:left w:val="none" w:sz="0" w:space="0" w:color="auto"/>
        <w:bottom w:val="none" w:sz="0" w:space="0" w:color="auto"/>
        <w:right w:val="none" w:sz="0" w:space="0" w:color="auto"/>
      </w:divBdr>
    </w:div>
    <w:div w:id="1108499917">
      <w:bodyDiv w:val="1"/>
      <w:marLeft w:val="0"/>
      <w:marRight w:val="0"/>
      <w:marTop w:val="0"/>
      <w:marBottom w:val="0"/>
      <w:divBdr>
        <w:top w:val="none" w:sz="0" w:space="0" w:color="auto"/>
        <w:left w:val="none" w:sz="0" w:space="0" w:color="auto"/>
        <w:bottom w:val="none" w:sz="0" w:space="0" w:color="auto"/>
        <w:right w:val="none" w:sz="0" w:space="0" w:color="auto"/>
      </w:divBdr>
    </w:div>
    <w:div w:id="1141844386">
      <w:bodyDiv w:val="1"/>
      <w:marLeft w:val="0"/>
      <w:marRight w:val="0"/>
      <w:marTop w:val="0"/>
      <w:marBottom w:val="0"/>
      <w:divBdr>
        <w:top w:val="none" w:sz="0" w:space="0" w:color="auto"/>
        <w:left w:val="none" w:sz="0" w:space="0" w:color="auto"/>
        <w:bottom w:val="none" w:sz="0" w:space="0" w:color="auto"/>
        <w:right w:val="none" w:sz="0" w:space="0" w:color="auto"/>
      </w:divBdr>
    </w:div>
    <w:div w:id="138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31405022">
          <w:marLeft w:val="0"/>
          <w:marRight w:val="0"/>
          <w:marTop w:val="0"/>
          <w:marBottom w:val="0"/>
          <w:divBdr>
            <w:top w:val="none" w:sz="0" w:space="0" w:color="auto"/>
            <w:left w:val="none" w:sz="0" w:space="0" w:color="auto"/>
            <w:bottom w:val="none" w:sz="0" w:space="0" w:color="auto"/>
            <w:right w:val="none" w:sz="0" w:space="0" w:color="auto"/>
          </w:divBdr>
        </w:div>
        <w:div w:id="307781597">
          <w:marLeft w:val="0"/>
          <w:marRight w:val="0"/>
          <w:marTop w:val="150"/>
          <w:marBottom w:val="0"/>
          <w:divBdr>
            <w:top w:val="single" w:sz="6" w:space="5" w:color="auto"/>
            <w:left w:val="single" w:sz="6" w:space="9" w:color="auto"/>
            <w:bottom w:val="single" w:sz="6" w:space="5" w:color="auto"/>
            <w:right w:val="single" w:sz="6" w:space="9" w:color="auto"/>
          </w:divBdr>
        </w:div>
      </w:divsChild>
    </w:div>
    <w:div w:id="1427918555">
      <w:bodyDiv w:val="1"/>
      <w:marLeft w:val="0"/>
      <w:marRight w:val="0"/>
      <w:marTop w:val="0"/>
      <w:marBottom w:val="0"/>
      <w:divBdr>
        <w:top w:val="none" w:sz="0" w:space="0" w:color="auto"/>
        <w:left w:val="none" w:sz="0" w:space="0" w:color="auto"/>
        <w:bottom w:val="none" w:sz="0" w:space="0" w:color="auto"/>
        <w:right w:val="none" w:sz="0" w:space="0" w:color="auto"/>
      </w:divBdr>
    </w:div>
    <w:div w:id="1472599689">
      <w:bodyDiv w:val="1"/>
      <w:marLeft w:val="0"/>
      <w:marRight w:val="0"/>
      <w:marTop w:val="0"/>
      <w:marBottom w:val="0"/>
      <w:divBdr>
        <w:top w:val="none" w:sz="0" w:space="0" w:color="auto"/>
        <w:left w:val="none" w:sz="0" w:space="0" w:color="auto"/>
        <w:bottom w:val="none" w:sz="0" w:space="0" w:color="auto"/>
        <w:right w:val="none" w:sz="0" w:space="0" w:color="auto"/>
      </w:divBdr>
    </w:div>
    <w:div w:id="1628583664">
      <w:bodyDiv w:val="1"/>
      <w:marLeft w:val="0"/>
      <w:marRight w:val="0"/>
      <w:marTop w:val="0"/>
      <w:marBottom w:val="0"/>
      <w:divBdr>
        <w:top w:val="none" w:sz="0" w:space="0" w:color="auto"/>
        <w:left w:val="none" w:sz="0" w:space="0" w:color="auto"/>
        <w:bottom w:val="none" w:sz="0" w:space="0" w:color="auto"/>
        <w:right w:val="none" w:sz="0" w:space="0" w:color="auto"/>
      </w:divBdr>
    </w:div>
    <w:div w:id="1641223806">
      <w:bodyDiv w:val="1"/>
      <w:marLeft w:val="0"/>
      <w:marRight w:val="0"/>
      <w:marTop w:val="0"/>
      <w:marBottom w:val="0"/>
      <w:divBdr>
        <w:top w:val="none" w:sz="0" w:space="0" w:color="auto"/>
        <w:left w:val="none" w:sz="0" w:space="0" w:color="auto"/>
        <w:bottom w:val="none" w:sz="0" w:space="0" w:color="auto"/>
        <w:right w:val="none" w:sz="0" w:space="0" w:color="auto"/>
      </w:divBdr>
      <w:divsChild>
        <w:div w:id="536623311">
          <w:marLeft w:val="0"/>
          <w:marRight w:val="0"/>
          <w:marTop w:val="100"/>
          <w:marBottom w:val="100"/>
          <w:divBdr>
            <w:top w:val="none" w:sz="0" w:space="0" w:color="auto"/>
            <w:left w:val="none" w:sz="0" w:space="0" w:color="auto"/>
            <w:bottom w:val="none" w:sz="0" w:space="0" w:color="auto"/>
            <w:right w:val="none" w:sz="0" w:space="0" w:color="auto"/>
          </w:divBdr>
          <w:divsChild>
            <w:div w:id="1902909436">
              <w:marLeft w:val="0"/>
              <w:marRight w:val="0"/>
              <w:marTop w:val="0"/>
              <w:marBottom w:val="0"/>
              <w:divBdr>
                <w:top w:val="none" w:sz="0" w:space="0" w:color="auto"/>
                <w:left w:val="none" w:sz="0" w:space="0" w:color="auto"/>
                <w:bottom w:val="none" w:sz="0" w:space="0" w:color="auto"/>
                <w:right w:val="none" w:sz="0" w:space="0" w:color="auto"/>
              </w:divBdr>
              <w:divsChild>
                <w:div w:id="14806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429">
          <w:marLeft w:val="0"/>
          <w:marRight w:val="0"/>
          <w:marTop w:val="0"/>
          <w:marBottom w:val="300"/>
          <w:divBdr>
            <w:top w:val="none" w:sz="0" w:space="0" w:color="auto"/>
            <w:left w:val="none" w:sz="0" w:space="0" w:color="auto"/>
            <w:bottom w:val="none" w:sz="0" w:space="0" w:color="auto"/>
            <w:right w:val="none" w:sz="0" w:space="0" w:color="auto"/>
          </w:divBdr>
          <w:divsChild>
            <w:div w:id="19658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5887">
      <w:bodyDiv w:val="1"/>
      <w:marLeft w:val="0"/>
      <w:marRight w:val="0"/>
      <w:marTop w:val="0"/>
      <w:marBottom w:val="0"/>
      <w:divBdr>
        <w:top w:val="none" w:sz="0" w:space="0" w:color="auto"/>
        <w:left w:val="none" w:sz="0" w:space="0" w:color="auto"/>
        <w:bottom w:val="none" w:sz="0" w:space="0" w:color="auto"/>
        <w:right w:val="none" w:sz="0" w:space="0" w:color="auto"/>
      </w:divBdr>
    </w:div>
    <w:div w:id="1800494654">
      <w:bodyDiv w:val="1"/>
      <w:marLeft w:val="0"/>
      <w:marRight w:val="0"/>
      <w:marTop w:val="0"/>
      <w:marBottom w:val="0"/>
      <w:divBdr>
        <w:top w:val="none" w:sz="0" w:space="0" w:color="auto"/>
        <w:left w:val="none" w:sz="0" w:space="0" w:color="auto"/>
        <w:bottom w:val="none" w:sz="0" w:space="0" w:color="auto"/>
        <w:right w:val="none" w:sz="0" w:space="0" w:color="auto"/>
      </w:divBdr>
    </w:div>
    <w:div w:id="1823308113">
      <w:bodyDiv w:val="1"/>
      <w:marLeft w:val="0"/>
      <w:marRight w:val="0"/>
      <w:marTop w:val="0"/>
      <w:marBottom w:val="0"/>
      <w:divBdr>
        <w:top w:val="none" w:sz="0" w:space="0" w:color="auto"/>
        <w:left w:val="none" w:sz="0" w:space="0" w:color="auto"/>
        <w:bottom w:val="none" w:sz="0" w:space="0" w:color="auto"/>
        <w:right w:val="none" w:sz="0" w:space="0" w:color="auto"/>
      </w:divBdr>
    </w:div>
    <w:div w:id="20834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69CB-2EBB-3142-8F92-F1E33829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Hodine Williams</dc:creator>
  <cp:keywords/>
  <dc:description/>
  <cp:lastModifiedBy>Nathan Heath (BLAC)</cp:lastModifiedBy>
  <cp:revision>5</cp:revision>
  <dcterms:created xsi:type="dcterms:W3CDTF">2026-05-26T18:21:00Z</dcterms:created>
  <dcterms:modified xsi:type="dcterms:W3CDTF">2026-05-30T01:26:00Z</dcterms:modified>
</cp:coreProperties>
</file>